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4F3" w:rsidRPr="004C4B90" w:rsidRDefault="008B0050" w:rsidP="008B0050">
      <w:pPr>
        <w:jc w:val="center"/>
        <w:rPr>
          <w:rFonts w:ascii="Arial" w:hAnsi="Arial" w:cs="Arial"/>
          <w:b/>
          <w:sz w:val="24"/>
          <w:szCs w:val="24"/>
        </w:rPr>
      </w:pPr>
      <w:r w:rsidRPr="004C4B90">
        <w:rPr>
          <w:rFonts w:ascii="Arial" w:hAnsi="Arial" w:cs="Arial"/>
          <w:b/>
          <w:sz w:val="24"/>
          <w:szCs w:val="24"/>
        </w:rPr>
        <w:t>BAB V</w:t>
      </w:r>
    </w:p>
    <w:p w:rsidR="008B0050" w:rsidRPr="004C4B90" w:rsidRDefault="008B0050" w:rsidP="008B0050">
      <w:pPr>
        <w:jc w:val="center"/>
        <w:rPr>
          <w:rFonts w:ascii="Arial" w:hAnsi="Arial" w:cs="Arial"/>
          <w:b/>
          <w:sz w:val="24"/>
          <w:szCs w:val="24"/>
        </w:rPr>
      </w:pPr>
      <w:r w:rsidRPr="004C4B90">
        <w:rPr>
          <w:rFonts w:ascii="Arial" w:hAnsi="Arial" w:cs="Arial"/>
          <w:b/>
          <w:sz w:val="24"/>
          <w:szCs w:val="24"/>
        </w:rPr>
        <w:t>RENCANA PEMBIAYAAN DAERAH</w:t>
      </w:r>
    </w:p>
    <w:p w:rsidR="004C4B90" w:rsidRPr="00EC404D" w:rsidRDefault="004C4B90" w:rsidP="00E94DEB">
      <w:pPr>
        <w:spacing w:before="120" w:after="120" w:line="300" w:lineRule="auto"/>
        <w:ind w:firstLine="709"/>
        <w:jc w:val="both"/>
        <w:rPr>
          <w:rFonts w:ascii="Arial" w:hAnsi="Arial" w:cs="Arial"/>
          <w:bCs/>
          <w:sz w:val="24"/>
          <w:szCs w:val="24"/>
        </w:rPr>
      </w:pPr>
      <w:r w:rsidRPr="00EC404D">
        <w:rPr>
          <w:rFonts w:ascii="Arial" w:hAnsi="Arial" w:cs="Arial"/>
          <w:bCs/>
          <w:sz w:val="24"/>
          <w:szCs w:val="24"/>
        </w:rPr>
        <w:t>Rencana pembiayaan daerah terdiri dari rencana penerimaan pembiayaan daerah dan rencana pengeluaran pembiayaan daerah. Rencana penerimaan pembiayaan daerah adalah digunakan untuk menutup defisit anggaran sebagai akibat dari tingginya kebutuhan belanja daerah untuk pemenuhan kebutuhan urusan wajib Pemerintah Daerah dan kebutuhan belanja pegawai.</w:t>
      </w:r>
    </w:p>
    <w:p w:rsidR="00E94DEB" w:rsidRPr="00920B08" w:rsidRDefault="00E94DEB" w:rsidP="00E94DEB">
      <w:pPr>
        <w:numPr>
          <w:ilvl w:val="0"/>
          <w:numId w:val="2"/>
        </w:numPr>
        <w:tabs>
          <w:tab w:val="clear" w:pos="2952"/>
        </w:tabs>
        <w:spacing w:before="120" w:after="120" w:line="300" w:lineRule="auto"/>
        <w:ind w:left="284" w:hanging="284"/>
        <w:jc w:val="both"/>
        <w:rPr>
          <w:rFonts w:ascii="Arial" w:hAnsi="Arial" w:cs="Arial"/>
          <w:sz w:val="24"/>
          <w:szCs w:val="24"/>
        </w:rPr>
      </w:pPr>
      <w:r w:rsidRPr="00920B08">
        <w:rPr>
          <w:rFonts w:ascii="Arial" w:hAnsi="Arial" w:cs="Arial"/>
          <w:bCs/>
          <w:sz w:val="24"/>
          <w:szCs w:val="24"/>
          <w:lang w:val="it-IT"/>
        </w:rPr>
        <w:t>Penerimaan Pembiayaan</w:t>
      </w:r>
    </w:p>
    <w:p w:rsidR="00E94DEB" w:rsidRPr="00920B08" w:rsidRDefault="00E94DEB" w:rsidP="00E94DEB">
      <w:pPr>
        <w:pStyle w:val="ListParagraph"/>
        <w:numPr>
          <w:ilvl w:val="0"/>
          <w:numId w:val="1"/>
        </w:numPr>
        <w:spacing w:before="120" w:after="120" w:line="300" w:lineRule="auto"/>
        <w:ind w:left="709" w:hanging="425"/>
        <w:contextualSpacing w:val="0"/>
        <w:rPr>
          <w:rFonts w:ascii="Arial" w:hAnsi="Arial" w:cs="Arial"/>
          <w:bCs/>
          <w:sz w:val="24"/>
          <w:szCs w:val="24"/>
        </w:rPr>
      </w:pPr>
      <w:r w:rsidRPr="00920B08">
        <w:rPr>
          <w:rFonts w:ascii="Arial" w:hAnsi="Arial" w:cs="Arial"/>
          <w:bCs/>
          <w:sz w:val="24"/>
          <w:szCs w:val="24"/>
        </w:rPr>
        <w:t>Penganggaran Sisa Lebih Perhitungan Anggaran Tahun Sebelumnya (SiLPA) harus didasarkan pada penghitungan yang cermat dan rasional dengan mempertimbangkan perkiraan realis</w:t>
      </w:r>
      <w:r>
        <w:rPr>
          <w:rFonts w:ascii="Arial" w:hAnsi="Arial" w:cs="Arial"/>
          <w:bCs/>
          <w:sz w:val="24"/>
          <w:szCs w:val="24"/>
        </w:rPr>
        <w:t>asi anggaran Tahun Anggaran 2015</w:t>
      </w:r>
      <w:r w:rsidRPr="00920B08">
        <w:rPr>
          <w:rFonts w:ascii="Arial" w:hAnsi="Arial" w:cs="Arial"/>
          <w:bCs/>
          <w:sz w:val="24"/>
          <w:szCs w:val="24"/>
        </w:rPr>
        <w:t xml:space="preserve"> dalam rangka menghindari kemungkinan adanya pengeluaran pada Tahun Anggaran 201</w:t>
      </w:r>
      <w:r>
        <w:rPr>
          <w:rFonts w:ascii="Arial" w:hAnsi="Arial" w:cs="Arial"/>
          <w:bCs/>
          <w:sz w:val="24"/>
          <w:szCs w:val="24"/>
        </w:rPr>
        <w:t>6</w:t>
      </w:r>
      <w:r w:rsidRPr="00920B08">
        <w:rPr>
          <w:rFonts w:ascii="Arial" w:hAnsi="Arial" w:cs="Arial"/>
          <w:bCs/>
          <w:sz w:val="24"/>
          <w:szCs w:val="24"/>
        </w:rPr>
        <w:t xml:space="preserve"> yang tidak dapat didanai akibat tidak tercapainya SiLPA yang direncanakan</w:t>
      </w:r>
    </w:p>
    <w:p w:rsidR="00E94DEB" w:rsidRPr="00920B08" w:rsidRDefault="00E94DEB" w:rsidP="00E94DEB">
      <w:pPr>
        <w:numPr>
          <w:ilvl w:val="0"/>
          <w:numId w:val="2"/>
        </w:numPr>
        <w:tabs>
          <w:tab w:val="clear" w:pos="2952"/>
        </w:tabs>
        <w:spacing w:before="120" w:after="120" w:line="300" w:lineRule="auto"/>
        <w:ind w:left="284" w:hanging="284"/>
        <w:jc w:val="both"/>
        <w:rPr>
          <w:rFonts w:ascii="Arial" w:hAnsi="Arial" w:cs="Arial"/>
          <w:sz w:val="24"/>
          <w:szCs w:val="24"/>
        </w:rPr>
      </w:pPr>
      <w:r w:rsidRPr="00920B08">
        <w:rPr>
          <w:rFonts w:ascii="Arial" w:hAnsi="Arial" w:cs="Arial"/>
          <w:bCs/>
          <w:sz w:val="24"/>
          <w:szCs w:val="24"/>
          <w:lang w:val="it-IT"/>
        </w:rPr>
        <w:t>Pengeluaran Pembiayaan</w:t>
      </w:r>
    </w:p>
    <w:p w:rsidR="00E94DEB" w:rsidRPr="00920B08" w:rsidRDefault="00E94DEB" w:rsidP="00E94DEB">
      <w:pPr>
        <w:numPr>
          <w:ilvl w:val="0"/>
          <w:numId w:val="4"/>
        </w:numPr>
        <w:spacing w:before="120" w:after="120" w:line="300" w:lineRule="auto"/>
        <w:ind w:left="709" w:hanging="408"/>
        <w:jc w:val="both"/>
        <w:rPr>
          <w:rFonts w:ascii="Arial" w:hAnsi="Arial" w:cs="Arial"/>
          <w:bCs/>
          <w:sz w:val="24"/>
          <w:szCs w:val="24"/>
        </w:rPr>
      </w:pPr>
      <w:r w:rsidRPr="00920B08">
        <w:rPr>
          <w:rFonts w:ascii="Arial" w:hAnsi="Arial" w:cs="Arial"/>
          <w:sz w:val="24"/>
          <w:szCs w:val="24"/>
        </w:rPr>
        <w:t>Penyertaan</w:t>
      </w:r>
      <w:r w:rsidRPr="00920B08">
        <w:rPr>
          <w:rFonts w:ascii="Arial" w:hAnsi="Arial" w:cs="Arial"/>
          <w:bCs/>
          <w:sz w:val="24"/>
          <w:szCs w:val="24"/>
        </w:rPr>
        <w:t xml:space="preserve"> modal pemerintah daerah pada badan usaha milik negara/daerah dan/atau badan usaha lainnya </w:t>
      </w:r>
      <w:r w:rsidRPr="00920B08">
        <w:rPr>
          <w:rFonts w:ascii="Arial" w:hAnsi="Arial" w:cs="Arial"/>
          <w:iCs/>
          <w:sz w:val="24"/>
          <w:szCs w:val="24"/>
        </w:rPr>
        <w:t>ditetapkan</w:t>
      </w:r>
      <w:r w:rsidRPr="00920B08">
        <w:rPr>
          <w:rFonts w:ascii="Arial" w:hAnsi="Arial" w:cs="Arial"/>
          <w:bCs/>
          <w:sz w:val="24"/>
          <w:szCs w:val="24"/>
        </w:rPr>
        <w:t xml:space="preserve"> dengan peraturan daerah tentang penyertaan modal</w:t>
      </w:r>
      <w:r w:rsidRPr="00920B08">
        <w:rPr>
          <w:rFonts w:ascii="Arial" w:hAnsi="Arial" w:cs="Arial"/>
          <w:iCs/>
          <w:sz w:val="24"/>
          <w:szCs w:val="24"/>
        </w:rPr>
        <w:t xml:space="preserve">. </w:t>
      </w:r>
      <w:r w:rsidRPr="00920B08">
        <w:rPr>
          <w:rFonts w:ascii="Arial" w:hAnsi="Arial" w:cs="Arial"/>
          <w:bCs/>
          <w:sz w:val="24"/>
          <w:szCs w:val="24"/>
        </w:rPr>
        <w:t xml:space="preserve">Penyertaan modal dalam rangka pemenuhan kewajiban yang telah tercantum dalam peraturan daerah tentang penyertaan modal pada tahun sebelumnya, tidak perlu diterbitkan peraturan daerah tersendiri sepanjang jumlah anggaran penyertaan modal tersebut belum melebihi jumlah penyertaan modal yang telah ditetapkan pada peraturan daerah tentang penyertaan modal. </w:t>
      </w:r>
    </w:p>
    <w:p w:rsidR="00E94DEB" w:rsidRPr="00920B08" w:rsidRDefault="00E94DEB" w:rsidP="00E94DEB">
      <w:pPr>
        <w:spacing w:before="120" w:after="120" w:line="300" w:lineRule="auto"/>
        <w:ind w:left="709" w:firstLine="720"/>
        <w:rPr>
          <w:rFonts w:ascii="Arial" w:hAnsi="Arial" w:cs="Arial"/>
          <w:sz w:val="24"/>
          <w:szCs w:val="24"/>
        </w:rPr>
      </w:pPr>
      <w:r w:rsidRPr="00920B08">
        <w:rPr>
          <w:rFonts w:ascii="Arial" w:hAnsi="Arial" w:cs="Arial"/>
          <w:bCs/>
          <w:sz w:val="24"/>
          <w:szCs w:val="24"/>
        </w:rPr>
        <w:t>Dalam hal pemerintah daerah akan menambah jumlah penyertaan modal melebihi jumlah penyertaan modal yang telah ditetapkan dalam peraturan daerah tentang penyertaan modal dimaksud, pemerintah daerah melakukan perubahan peraturan daerah tentang penyertaan modal tersebut.</w:t>
      </w:r>
    </w:p>
    <w:p w:rsidR="00E94DEB" w:rsidRDefault="00E94DEB" w:rsidP="00E94DEB">
      <w:pPr>
        <w:numPr>
          <w:ilvl w:val="0"/>
          <w:numId w:val="4"/>
        </w:numPr>
        <w:spacing w:before="120" w:after="120" w:line="300" w:lineRule="auto"/>
        <w:ind w:left="709" w:hanging="408"/>
        <w:jc w:val="both"/>
        <w:rPr>
          <w:rFonts w:ascii="Arial" w:hAnsi="Arial" w:cs="Arial"/>
          <w:sz w:val="24"/>
          <w:szCs w:val="24"/>
        </w:rPr>
      </w:pPr>
      <w:r w:rsidRPr="00920B08">
        <w:rPr>
          <w:rFonts w:ascii="Arial" w:hAnsi="Arial" w:cs="Arial"/>
          <w:sz w:val="24"/>
          <w:szCs w:val="24"/>
        </w:rPr>
        <w:t xml:space="preserve">Pemerintah daerah dapat menambah modal yang disetor dan/atau melakukan penambahan penyertaan modal pada Badan Usaha Milik Daerah (BUMD) untuk memperkuat struktur permodalan, sehingga BUMD dimaksud dapat lebih berkompetisi, tumbuh dan berkembang. Khusus untuk BUMD sektor perbankan, pemerintah daerah dapat melakukan penambahan penyertaan modal dimaksud guna menambah modal inti sebagaimana dipersyaratkan Bank Indonesia dan untuk memenuhi </w:t>
      </w:r>
      <w:r w:rsidRPr="00920B08">
        <w:rPr>
          <w:rFonts w:ascii="Arial" w:hAnsi="Arial" w:cs="Arial"/>
          <w:i/>
          <w:sz w:val="24"/>
          <w:szCs w:val="24"/>
        </w:rPr>
        <w:t>Capital Adequacy Ratio</w:t>
      </w:r>
      <w:r w:rsidRPr="00920B08">
        <w:rPr>
          <w:rFonts w:ascii="Arial" w:hAnsi="Arial" w:cs="Arial"/>
          <w:sz w:val="24"/>
          <w:szCs w:val="24"/>
        </w:rPr>
        <w:t xml:space="preserve"> (CAR).</w:t>
      </w:r>
    </w:p>
    <w:p w:rsidR="00E94DEB" w:rsidRPr="00920B08" w:rsidRDefault="00E94DEB" w:rsidP="00E94DEB">
      <w:pPr>
        <w:spacing w:before="120" w:after="120" w:line="300" w:lineRule="auto"/>
        <w:jc w:val="both"/>
        <w:rPr>
          <w:rFonts w:ascii="Arial" w:hAnsi="Arial" w:cs="Arial"/>
          <w:sz w:val="24"/>
          <w:szCs w:val="24"/>
        </w:rPr>
      </w:pPr>
    </w:p>
    <w:p w:rsidR="00E94DEB" w:rsidRPr="00920B08" w:rsidRDefault="00E94DEB" w:rsidP="00E94DEB">
      <w:pPr>
        <w:numPr>
          <w:ilvl w:val="0"/>
          <w:numId w:val="2"/>
        </w:numPr>
        <w:tabs>
          <w:tab w:val="clear" w:pos="2952"/>
        </w:tabs>
        <w:spacing w:before="120" w:after="120" w:line="300" w:lineRule="auto"/>
        <w:ind w:left="284" w:hanging="284"/>
        <w:jc w:val="both"/>
        <w:rPr>
          <w:rFonts w:ascii="Arial" w:hAnsi="Arial" w:cs="Arial"/>
          <w:sz w:val="24"/>
          <w:szCs w:val="24"/>
        </w:rPr>
      </w:pPr>
      <w:r w:rsidRPr="00920B08">
        <w:rPr>
          <w:rFonts w:ascii="Arial" w:hAnsi="Arial" w:cs="Arial"/>
          <w:bCs/>
          <w:sz w:val="24"/>
          <w:szCs w:val="24"/>
          <w:lang w:val="it-IT"/>
        </w:rPr>
        <w:lastRenderedPageBreak/>
        <w:t>Sisa</w:t>
      </w:r>
      <w:r w:rsidRPr="00920B08">
        <w:rPr>
          <w:rFonts w:ascii="Arial" w:hAnsi="Arial" w:cs="Arial"/>
          <w:bCs/>
          <w:sz w:val="24"/>
          <w:szCs w:val="24"/>
          <w:lang w:val="fi-FI"/>
        </w:rPr>
        <w:t xml:space="preserve"> </w:t>
      </w:r>
      <w:r w:rsidRPr="00920B08">
        <w:rPr>
          <w:rFonts w:ascii="Arial" w:hAnsi="Arial" w:cs="Arial"/>
          <w:bCs/>
          <w:sz w:val="24"/>
          <w:szCs w:val="24"/>
          <w:lang w:val="it-IT"/>
        </w:rPr>
        <w:t>Lebih</w:t>
      </w:r>
      <w:r w:rsidRPr="00920B08">
        <w:rPr>
          <w:rFonts w:ascii="Arial" w:hAnsi="Arial" w:cs="Arial"/>
          <w:bCs/>
          <w:sz w:val="24"/>
          <w:szCs w:val="24"/>
          <w:lang w:val="fi-FI"/>
        </w:rPr>
        <w:t xml:space="preserve"> Pembiayaan (SILPA)</w:t>
      </w:r>
      <w:r w:rsidRPr="00920B08">
        <w:rPr>
          <w:rFonts w:ascii="Arial" w:hAnsi="Arial" w:cs="Arial"/>
          <w:bCs/>
          <w:sz w:val="24"/>
          <w:szCs w:val="24"/>
        </w:rPr>
        <w:t xml:space="preserve"> </w:t>
      </w:r>
      <w:r w:rsidRPr="00920B08">
        <w:rPr>
          <w:rFonts w:ascii="Arial" w:hAnsi="Arial" w:cs="Arial"/>
          <w:bCs/>
          <w:sz w:val="24"/>
          <w:szCs w:val="24"/>
          <w:lang w:val="fi-FI"/>
        </w:rPr>
        <w:t>Tahun Berjalan</w:t>
      </w:r>
    </w:p>
    <w:p w:rsidR="00E94DEB" w:rsidRPr="00920B08" w:rsidRDefault="00E94DEB" w:rsidP="00E94DEB">
      <w:pPr>
        <w:numPr>
          <w:ilvl w:val="0"/>
          <w:numId w:val="3"/>
        </w:numPr>
        <w:spacing w:before="120" w:after="120" w:line="300" w:lineRule="auto"/>
        <w:ind w:leftChars="129" w:left="709" w:hangingChars="177" w:hanging="425"/>
        <w:jc w:val="both"/>
        <w:rPr>
          <w:rFonts w:ascii="Arial" w:hAnsi="Arial" w:cs="Arial"/>
          <w:sz w:val="24"/>
          <w:szCs w:val="24"/>
        </w:rPr>
      </w:pPr>
      <w:r w:rsidRPr="00920B08">
        <w:rPr>
          <w:rFonts w:ascii="Arial" w:hAnsi="Arial" w:cs="Arial"/>
          <w:sz w:val="24"/>
          <w:szCs w:val="24"/>
        </w:rPr>
        <w:t>Pemerintah daerah menetapkan Sisa Lebih Pembiayaan (SILPA) Tahun Anggaran 201</w:t>
      </w:r>
      <w:r>
        <w:rPr>
          <w:rFonts w:ascii="Arial" w:hAnsi="Arial" w:cs="Arial"/>
          <w:sz w:val="24"/>
          <w:szCs w:val="24"/>
        </w:rPr>
        <w:t>6</w:t>
      </w:r>
      <w:r w:rsidRPr="00920B08">
        <w:rPr>
          <w:rFonts w:ascii="Arial" w:hAnsi="Arial" w:cs="Arial"/>
          <w:sz w:val="24"/>
          <w:szCs w:val="24"/>
        </w:rPr>
        <w:t xml:space="preserve"> bersaldo nol.</w:t>
      </w:r>
    </w:p>
    <w:p w:rsidR="00E94DEB" w:rsidRPr="00920B08" w:rsidRDefault="00E94DEB" w:rsidP="00E94DEB">
      <w:pPr>
        <w:numPr>
          <w:ilvl w:val="0"/>
          <w:numId w:val="3"/>
        </w:numPr>
        <w:spacing w:before="120" w:after="120" w:line="300" w:lineRule="auto"/>
        <w:ind w:leftChars="129" w:left="709" w:hangingChars="177" w:hanging="425"/>
        <w:jc w:val="both"/>
        <w:rPr>
          <w:rFonts w:ascii="Arial" w:hAnsi="Arial" w:cs="Arial"/>
          <w:sz w:val="24"/>
          <w:szCs w:val="24"/>
        </w:rPr>
      </w:pPr>
      <w:r w:rsidRPr="00920B08">
        <w:rPr>
          <w:rFonts w:ascii="Arial" w:hAnsi="Arial" w:cs="Arial"/>
          <w:sz w:val="24"/>
          <w:szCs w:val="24"/>
        </w:rPr>
        <w:t>Dalam hal perhitungan penyusunan Rancangan APBD menghasilkan SILPA Tahun Berjalan positif, pemerintah daerah harus memanfaatkannya untuk penambahan program dan kegiatan prioritas yang dibutuhkan, volume program dan kegiatan yang telah dianggarkan, dan/atau pengeluaran pembiayaan.</w:t>
      </w:r>
    </w:p>
    <w:p w:rsidR="00E94DEB" w:rsidRPr="00920B08" w:rsidRDefault="00E94DEB" w:rsidP="00E94DEB">
      <w:pPr>
        <w:numPr>
          <w:ilvl w:val="0"/>
          <w:numId w:val="3"/>
        </w:numPr>
        <w:spacing w:before="120" w:after="120" w:line="300" w:lineRule="auto"/>
        <w:ind w:leftChars="129" w:left="709" w:hangingChars="177" w:hanging="425"/>
        <w:jc w:val="both"/>
        <w:rPr>
          <w:rFonts w:ascii="Arial" w:hAnsi="Arial" w:cs="Arial"/>
          <w:sz w:val="24"/>
          <w:szCs w:val="24"/>
        </w:rPr>
      </w:pPr>
      <w:r w:rsidRPr="00920B08">
        <w:rPr>
          <w:rFonts w:ascii="Arial" w:hAnsi="Arial" w:cs="Arial"/>
          <w:sz w:val="24"/>
          <w:szCs w:val="24"/>
        </w:rPr>
        <w:t>Dalam hal perhitungan SILPA Tahun Berjalan negatif, pemerintah daerah melakukan pengurangan bahkan penghapusan pengeluaran pembiayaan yang bukan merupakan kewajiban daerah, pengurangan program dan kegiatan yang kurang prioritas dan/atau pengurangan volume program dan kegiatannya</w:t>
      </w:r>
    </w:p>
    <w:p w:rsidR="00E94DEB" w:rsidRPr="00E94DEB" w:rsidRDefault="00E94DEB" w:rsidP="00E94DEB">
      <w:pPr>
        <w:spacing w:before="120" w:after="120" w:line="300" w:lineRule="auto"/>
        <w:ind w:firstLine="709"/>
        <w:jc w:val="both"/>
        <w:rPr>
          <w:rFonts w:ascii="Arial" w:hAnsi="Arial" w:cs="Arial"/>
          <w:bCs/>
          <w:sz w:val="24"/>
          <w:szCs w:val="24"/>
        </w:rPr>
      </w:pPr>
      <w:r w:rsidRPr="00E94DEB">
        <w:rPr>
          <w:rFonts w:ascii="Arial" w:hAnsi="Arial" w:cs="Arial"/>
          <w:bCs/>
          <w:sz w:val="24"/>
          <w:szCs w:val="24"/>
        </w:rPr>
        <w:t xml:space="preserve">Dengan mempertimbangkan arah kebijakan pendapatan dan belanja daerah, maka plafon anggaran pembiayaan daerah tahun anggaran 2016 dapat dijabarkan sebagaimana </w:t>
      </w:r>
      <w:r>
        <w:rPr>
          <w:rFonts w:ascii="Arial" w:hAnsi="Arial" w:cs="Arial"/>
          <w:bCs/>
          <w:sz w:val="24"/>
          <w:szCs w:val="24"/>
        </w:rPr>
        <w:t>t</w:t>
      </w:r>
      <w:r w:rsidRPr="00E94DEB">
        <w:rPr>
          <w:rFonts w:ascii="Arial" w:hAnsi="Arial" w:cs="Arial"/>
          <w:bCs/>
          <w:sz w:val="24"/>
          <w:szCs w:val="24"/>
        </w:rPr>
        <w:t xml:space="preserve">abel </w:t>
      </w:r>
      <w:r>
        <w:rPr>
          <w:rFonts w:ascii="Arial" w:hAnsi="Arial" w:cs="Arial"/>
          <w:bCs/>
          <w:sz w:val="24"/>
          <w:szCs w:val="24"/>
        </w:rPr>
        <w:t>berikut</w:t>
      </w:r>
      <w:r w:rsidRPr="00E94DEB">
        <w:rPr>
          <w:rFonts w:ascii="Arial" w:hAnsi="Arial" w:cs="Arial"/>
          <w:bCs/>
          <w:sz w:val="24"/>
          <w:szCs w:val="24"/>
        </w:rPr>
        <w:t>.</w:t>
      </w:r>
    </w:p>
    <w:p w:rsidR="00E94DEB" w:rsidRDefault="00E94DEB" w:rsidP="00E94DEB">
      <w:pPr>
        <w:spacing w:after="0" w:line="240" w:lineRule="auto"/>
        <w:jc w:val="center"/>
        <w:rPr>
          <w:rFonts w:ascii="Arial" w:hAnsi="Arial" w:cs="Arial"/>
          <w:b/>
          <w:color w:val="000000"/>
          <w:sz w:val="24"/>
          <w:szCs w:val="24"/>
        </w:rPr>
      </w:pPr>
    </w:p>
    <w:p w:rsidR="00E94DEB" w:rsidRPr="00FA6B14" w:rsidRDefault="00E94DEB" w:rsidP="00E94DEB">
      <w:pPr>
        <w:spacing w:after="0" w:line="240" w:lineRule="auto"/>
        <w:jc w:val="center"/>
        <w:rPr>
          <w:rFonts w:ascii="Arial" w:hAnsi="Arial" w:cs="Arial"/>
          <w:b/>
          <w:color w:val="000000"/>
          <w:sz w:val="24"/>
          <w:szCs w:val="24"/>
          <w:lang w:val="en-US"/>
        </w:rPr>
      </w:pPr>
      <w:r>
        <w:rPr>
          <w:rFonts w:ascii="Arial" w:hAnsi="Arial" w:cs="Arial"/>
          <w:b/>
          <w:color w:val="000000"/>
          <w:sz w:val="24"/>
          <w:szCs w:val="24"/>
        </w:rPr>
        <w:t>Tabel 5.1</w:t>
      </w:r>
    </w:p>
    <w:p w:rsidR="00E94DEB" w:rsidRPr="00E94DEB" w:rsidRDefault="00E94DEB" w:rsidP="00E94DEB">
      <w:pPr>
        <w:spacing w:after="0" w:line="240" w:lineRule="auto"/>
        <w:jc w:val="center"/>
        <w:rPr>
          <w:rFonts w:ascii="Arial" w:hAnsi="Arial" w:cs="Arial"/>
          <w:b/>
          <w:sz w:val="24"/>
          <w:szCs w:val="24"/>
        </w:rPr>
      </w:pPr>
      <w:r w:rsidRPr="00EC404D">
        <w:rPr>
          <w:rFonts w:ascii="Arial" w:hAnsi="Arial" w:cs="Arial"/>
          <w:b/>
          <w:sz w:val="24"/>
          <w:szCs w:val="24"/>
        </w:rPr>
        <w:t>Rincian Plafon Anggara</w:t>
      </w:r>
      <w:r>
        <w:rPr>
          <w:rFonts w:ascii="Arial" w:hAnsi="Arial" w:cs="Arial"/>
          <w:b/>
          <w:sz w:val="24"/>
          <w:szCs w:val="24"/>
        </w:rPr>
        <w:t>n Pembiayaan Tahun Anggaran 2016</w:t>
      </w:r>
    </w:p>
    <w:tbl>
      <w:tblPr>
        <w:tblpPr w:leftFromText="180" w:rightFromText="180" w:vertAnchor="text" w:horzAnchor="margin" w:tblpX="190" w:tblpY="241"/>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283"/>
        <w:gridCol w:w="284"/>
        <w:gridCol w:w="5386"/>
        <w:gridCol w:w="2552"/>
      </w:tblGrid>
      <w:tr w:rsidR="00E94DEB" w:rsidRPr="006C6935" w:rsidTr="00E94DEB">
        <w:trPr>
          <w:trHeight w:val="253"/>
        </w:trPr>
        <w:tc>
          <w:tcPr>
            <w:tcW w:w="959" w:type="dxa"/>
            <w:gridSpan w:val="3"/>
            <w:vMerge w:val="restart"/>
            <w:shd w:val="clear" w:color="auto" w:fill="EAF1DD" w:themeFill="accent3" w:themeFillTint="33"/>
            <w:vAlign w:val="center"/>
          </w:tcPr>
          <w:p w:rsidR="00E94DEB" w:rsidRPr="006C6935" w:rsidRDefault="00E94DEB" w:rsidP="00E94DEB">
            <w:pPr>
              <w:pStyle w:val="BodyTextIndent3"/>
              <w:spacing w:after="0" w:line="240" w:lineRule="auto"/>
              <w:ind w:left="0" w:right="-68" w:firstLine="0"/>
              <w:jc w:val="center"/>
              <w:rPr>
                <w:rFonts w:ascii="Arial" w:hAnsi="Arial" w:cs="Arial"/>
                <w:b/>
                <w:color w:val="000000"/>
                <w:sz w:val="22"/>
                <w:szCs w:val="22"/>
              </w:rPr>
            </w:pPr>
            <w:r w:rsidRPr="006C6935">
              <w:rPr>
                <w:rFonts w:ascii="Arial" w:hAnsi="Arial" w:cs="Arial"/>
                <w:b/>
                <w:color w:val="000000"/>
                <w:sz w:val="22"/>
                <w:szCs w:val="22"/>
              </w:rPr>
              <w:t>No</w:t>
            </w:r>
          </w:p>
        </w:tc>
        <w:tc>
          <w:tcPr>
            <w:tcW w:w="5386" w:type="dxa"/>
            <w:vMerge w:val="restart"/>
            <w:shd w:val="clear" w:color="auto" w:fill="EAF1DD" w:themeFill="accent3" w:themeFillTint="33"/>
            <w:vAlign w:val="center"/>
          </w:tcPr>
          <w:p w:rsidR="00E94DEB" w:rsidRPr="006C6935" w:rsidRDefault="00E94DEB" w:rsidP="00E94DEB">
            <w:pPr>
              <w:pStyle w:val="BodyTextIndent3"/>
              <w:spacing w:after="0" w:line="240" w:lineRule="auto"/>
              <w:ind w:left="0" w:right="-68" w:firstLine="0"/>
              <w:jc w:val="center"/>
              <w:rPr>
                <w:rFonts w:ascii="Arial" w:hAnsi="Arial" w:cs="Arial"/>
                <w:b/>
                <w:color w:val="000000"/>
                <w:sz w:val="22"/>
                <w:szCs w:val="22"/>
              </w:rPr>
            </w:pPr>
            <w:r w:rsidRPr="006C6935">
              <w:rPr>
                <w:rFonts w:ascii="Arial" w:hAnsi="Arial" w:cs="Arial"/>
                <w:b/>
                <w:color w:val="000000"/>
                <w:sz w:val="22"/>
                <w:szCs w:val="22"/>
              </w:rPr>
              <w:t>URAIAN</w:t>
            </w:r>
          </w:p>
        </w:tc>
        <w:tc>
          <w:tcPr>
            <w:tcW w:w="2552" w:type="dxa"/>
            <w:vMerge w:val="restart"/>
            <w:shd w:val="clear" w:color="auto" w:fill="EAF1DD" w:themeFill="accent3" w:themeFillTint="33"/>
            <w:vAlign w:val="center"/>
          </w:tcPr>
          <w:p w:rsidR="00E94DEB" w:rsidRPr="006C6935" w:rsidRDefault="00E94DEB" w:rsidP="00E94DEB">
            <w:pPr>
              <w:pStyle w:val="BodyTextIndent3"/>
              <w:spacing w:after="0" w:line="240" w:lineRule="auto"/>
              <w:ind w:left="0" w:right="-68" w:firstLine="0"/>
              <w:jc w:val="center"/>
              <w:rPr>
                <w:rFonts w:ascii="Arial" w:hAnsi="Arial" w:cs="Arial"/>
                <w:b/>
                <w:color w:val="000000"/>
                <w:sz w:val="22"/>
                <w:szCs w:val="22"/>
              </w:rPr>
            </w:pPr>
            <w:r w:rsidRPr="006C6935">
              <w:rPr>
                <w:rFonts w:ascii="Arial" w:hAnsi="Arial" w:cs="Arial"/>
                <w:b/>
                <w:bCs/>
                <w:sz w:val="22"/>
                <w:szCs w:val="22"/>
              </w:rPr>
              <w:t>Plafon Anggaran Sementara (Rp.)</w:t>
            </w:r>
          </w:p>
        </w:tc>
      </w:tr>
      <w:tr w:rsidR="00E94DEB" w:rsidRPr="006C6935" w:rsidTr="00E94DEB">
        <w:trPr>
          <w:trHeight w:val="315"/>
        </w:trPr>
        <w:tc>
          <w:tcPr>
            <w:tcW w:w="959" w:type="dxa"/>
            <w:gridSpan w:val="3"/>
            <w:vMerge/>
            <w:shd w:val="clear" w:color="auto" w:fill="EAF1DD" w:themeFill="accent3" w:themeFillTint="33"/>
            <w:vAlign w:val="center"/>
          </w:tcPr>
          <w:p w:rsidR="00E94DEB" w:rsidRPr="006C6935" w:rsidRDefault="00E94DEB" w:rsidP="00E94DEB">
            <w:pPr>
              <w:pStyle w:val="BodyTextIndent3"/>
              <w:spacing w:after="0" w:line="240" w:lineRule="auto"/>
              <w:ind w:left="0" w:right="-68" w:firstLine="0"/>
              <w:jc w:val="center"/>
              <w:rPr>
                <w:rFonts w:ascii="Arial" w:hAnsi="Arial" w:cs="Arial"/>
                <w:b/>
                <w:color w:val="000000"/>
                <w:sz w:val="22"/>
                <w:szCs w:val="22"/>
              </w:rPr>
            </w:pPr>
          </w:p>
        </w:tc>
        <w:tc>
          <w:tcPr>
            <w:tcW w:w="5386" w:type="dxa"/>
            <w:vMerge/>
            <w:shd w:val="clear" w:color="auto" w:fill="EAF1DD" w:themeFill="accent3" w:themeFillTint="33"/>
            <w:vAlign w:val="center"/>
          </w:tcPr>
          <w:p w:rsidR="00E94DEB" w:rsidRPr="006C6935" w:rsidRDefault="00E94DEB" w:rsidP="00E94DEB">
            <w:pPr>
              <w:pStyle w:val="BodyTextIndent3"/>
              <w:spacing w:after="0" w:line="240" w:lineRule="auto"/>
              <w:ind w:left="0" w:right="-68" w:firstLine="0"/>
              <w:jc w:val="center"/>
              <w:rPr>
                <w:rFonts w:ascii="Arial" w:hAnsi="Arial" w:cs="Arial"/>
                <w:b/>
                <w:color w:val="000000"/>
                <w:sz w:val="22"/>
                <w:szCs w:val="22"/>
              </w:rPr>
            </w:pPr>
          </w:p>
        </w:tc>
        <w:tc>
          <w:tcPr>
            <w:tcW w:w="2552" w:type="dxa"/>
            <w:vMerge/>
            <w:shd w:val="clear" w:color="auto" w:fill="EAF1DD" w:themeFill="accent3" w:themeFillTint="33"/>
          </w:tcPr>
          <w:p w:rsidR="00E94DEB" w:rsidRPr="006C6935" w:rsidRDefault="00E94DEB" w:rsidP="00E94DEB">
            <w:pPr>
              <w:spacing w:after="0" w:line="240" w:lineRule="auto"/>
              <w:ind w:right="-68"/>
              <w:jc w:val="center"/>
              <w:rPr>
                <w:rFonts w:ascii="Arial" w:hAnsi="Arial" w:cs="Arial"/>
                <w:b/>
                <w:bCs/>
              </w:rPr>
            </w:pPr>
          </w:p>
        </w:tc>
      </w:tr>
      <w:tr w:rsidR="00E94DEB" w:rsidRPr="006C6935" w:rsidTr="00E94DEB">
        <w:trPr>
          <w:trHeight w:val="351"/>
        </w:trPr>
        <w:tc>
          <w:tcPr>
            <w:tcW w:w="959" w:type="dxa"/>
            <w:gridSpan w:val="3"/>
            <w:shd w:val="clear" w:color="auto" w:fill="EAF1DD" w:themeFill="accent3" w:themeFillTint="33"/>
            <w:vAlign w:val="center"/>
          </w:tcPr>
          <w:p w:rsidR="00E94DEB" w:rsidRPr="006C6935" w:rsidRDefault="00E94DEB" w:rsidP="00E536EF">
            <w:pPr>
              <w:pStyle w:val="BodyTextIndent3"/>
              <w:spacing w:after="0" w:line="240" w:lineRule="auto"/>
              <w:ind w:left="0" w:firstLine="0"/>
              <w:jc w:val="center"/>
              <w:rPr>
                <w:rFonts w:ascii="Arial" w:hAnsi="Arial" w:cs="Arial"/>
                <w:i/>
                <w:color w:val="000000"/>
                <w:sz w:val="22"/>
                <w:szCs w:val="22"/>
              </w:rPr>
            </w:pPr>
            <w:r w:rsidRPr="006C6935">
              <w:rPr>
                <w:rFonts w:ascii="Arial" w:hAnsi="Arial" w:cs="Arial"/>
                <w:i/>
                <w:color w:val="000000"/>
                <w:sz w:val="22"/>
                <w:szCs w:val="22"/>
              </w:rPr>
              <w:t>1</w:t>
            </w:r>
          </w:p>
        </w:tc>
        <w:tc>
          <w:tcPr>
            <w:tcW w:w="5386" w:type="dxa"/>
            <w:shd w:val="clear" w:color="auto" w:fill="EAF1DD" w:themeFill="accent3" w:themeFillTint="33"/>
            <w:vAlign w:val="center"/>
          </w:tcPr>
          <w:p w:rsidR="00E94DEB" w:rsidRPr="006C6935" w:rsidRDefault="00E94DEB" w:rsidP="00E536EF">
            <w:pPr>
              <w:pStyle w:val="BodyTextIndent3"/>
              <w:spacing w:after="0" w:line="240" w:lineRule="auto"/>
              <w:ind w:left="0" w:firstLine="0"/>
              <w:jc w:val="center"/>
              <w:rPr>
                <w:rFonts w:ascii="Arial" w:hAnsi="Arial" w:cs="Arial"/>
                <w:i/>
                <w:color w:val="000000"/>
                <w:sz w:val="22"/>
                <w:szCs w:val="22"/>
              </w:rPr>
            </w:pPr>
            <w:r w:rsidRPr="006C6935">
              <w:rPr>
                <w:rFonts w:ascii="Arial" w:hAnsi="Arial" w:cs="Arial"/>
                <w:i/>
                <w:color w:val="000000"/>
                <w:sz w:val="22"/>
                <w:szCs w:val="22"/>
              </w:rPr>
              <w:t>2</w:t>
            </w:r>
          </w:p>
        </w:tc>
        <w:tc>
          <w:tcPr>
            <w:tcW w:w="2552" w:type="dxa"/>
            <w:shd w:val="clear" w:color="auto" w:fill="EAF1DD" w:themeFill="accent3" w:themeFillTint="33"/>
          </w:tcPr>
          <w:p w:rsidR="00E94DEB" w:rsidRPr="006C6935" w:rsidRDefault="00E94DEB" w:rsidP="00E536EF">
            <w:pPr>
              <w:spacing w:after="0" w:line="240" w:lineRule="auto"/>
              <w:jc w:val="center"/>
              <w:rPr>
                <w:rFonts w:ascii="Arial" w:hAnsi="Arial" w:cs="Arial"/>
                <w:i/>
                <w:color w:val="000000"/>
              </w:rPr>
            </w:pPr>
            <w:r w:rsidRPr="006C6935">
              <w:rPr>
                <w:rFonts w:ascii="Arial" w:hAnsi="Arial" w:cs="Arial"/>
                <w:i/>
                <w:color w:val="000000"/>
              </w:rPr>
              <w:t>3</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r w:rsidRPr="006C6935">
              <w:rPr>
                <w:rFonts w:ascii="Arial" w:hAnsi="Arial" w:cs="Arial"/>
                <w:b/>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p>
        </w:tc>
        <w:tc>
          <w:tcPr>
            <w:tcW w:w="5386" w:type="dxa"/>
          </w:tcPr>
          <w:p w:rsidR="00E94DEB" w:rsidRPr="006C6935" w:rsidRDefault="00E94DEB" w:rsidP="00E94DEB">
            <w:pPr>
              <w:pStyle w:val="BodyTextIndent3"/>
              <w:spacing w:after="0" w:line="240" w:lineRule="auto"/>
              <w:ind w:left="0" w:firstLine="0"/>
              <w:rPr>
                <w:rFonts w:ascii="Arial" w:hAnsi="Arial" w:cs="Arial"/>
                <w:b/>
                <w:color w:val="000000"/>
                <w:sz w:val="22"/>
                <w:szCs w:val="22"/>
              </w:rPr>
            </w:pPr>
            <w:r w:rsidRPr="006C6935">
              <w:rPr>
                <w:rFonts w:ascii="Arial" w:hAnsi="Arial" w:cs="Arial"/>
                <w:b/>
                <w:color w:val="000000"/>
                <w:sz w:val="22"/>
                <w:szCs w:val="22"/>
              </w:rPr>
              <w:t>PEMBIAYAAN DAERAH</w:t>
            </w:r>
          </w:p>
        </w:tc>
        <w:tc>
          <w:tcPr>
            <w:tcW w:w="2552" w:type="dxa"/>
          </w:tcPr>
          <w:p w:rsidR="00E94DEB" w:rsidRPr="006C6935" w:rsidRDefault="00E94DEB" w:rsidP="00E94DEB">
            <w:pPr>
              <w:spacing w:after="0" w:line="240" w:lineRule="auto"/>
              <w:ind w:left="-21" w:right="-20"/>
              <w:jc w:val="right"/>
              <w:rPr>
                <w:rFonts w:ascii="Arial" w:hAnsi="Arial" w:cs="Arial"/>
                <w:b/>
                <w:noProof/>
              </w:rPr>
            </w:pPr>
            <w:r w:rsidRPr="006C6935">
              <w:rPr>
                <w:rFonts w:ascii="Arial" w:hAnsi="Arial" w:cs="Arial"/>
                <w:b/>
                <w:noProof/>
              </w:rPr>
              <w:t>55.187.763.640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r w:rsidRPr="006C6935">
              <w:rPr>
                <w:rFonts w:ascii="Arial" w:hAnsi="Arial" w:cs="Arial"/>
                <w:b/>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r w:rsidRPr="006C6935">
              <w:rPr>
                <w:rFonts w:ascii="Arial" w:hAnsi="Arial" w:cs="Arial"/>
                <w:b/>
                <w:color w:val="000000"/>
                <w:sz w:val="22"/>
                <w:szCs w:val="22"/>
              </w:rPr>
              <w:t>1</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p>
        </w:tc>
        <w:tc>
          <w:tcPr>
            <w:tcW w:w="5386" w:type="dxa"/>
          </w:tcPr>
          <w:p w:rsidR="00E94DEB" w:rsidRPr="006C6935" w:rsidRDefault="00E94DEB" w:rsidP="00E94DEB">
            <w:pPr>
              <w:pStyle w:val="BodyTextIndent3"/>
              <w:spacing w:after="0" w:line="240" w:lineRule="auto"/>
              <w:ind w:left="0" w:firstLine="0"/>
              <w:rPr>
                <w:rFonts w:ascii="Arial" w:hAnsi="Arial" w:cs="Arial"/>
                <w:b/>
                <w:color w:val="000000"/>
                <w:sz w:val="22"/>
                <w:szCs w:val="22"/>
              </w:rPr>
            </w:pPr>
            <w:r w:rsidRPr="006C6935">
              <w:rPr>
                <w:rFonts w:ascii="Arial" w:hAnsi="Arial" w:cs="Arial"/>
                <w:b/>
                <w:color w:val="000000"/>
                <w:sz w:val="22"/>
                <w:szCs w:val="22"/>
              </w:rPr>
              <w:t>Penerimaan Pembiayaan Daerah</w:t>
            </w:r>
          </w:p>
        </w:tc>
        <w:tc>
          <w:tcPr>
            <w:tcW w:w="2552" w:type="dxa"/>
          </w:tcPr>
          <w:p w:rsidR="00E94DEB" w:rsidRPr="006C6935" w:rsidRDefault="00E94DEB" w:rsidP="00E94DEB">
            <w:pPr>
              <w:spacing w:after="0" w:line="240" w:lineRule="auto"/>
              <w:ind w:left="-21" w:right="-20"/>
              <w:jc w:val="right"/>
              <w:rPr>
                <w:rFonts w:ascii="Arial" w:hAnsi="Arial" w:cs="Arial"/>
                <w:b/>
              </w:rPr>
            </w:pPr>
            <w:r w:rsidRPr="006C6935">
              <w:rPr>
                <w:rFonts w:ascii="Arial" w:hAnsi="Arial" w:cs="Arial"/>
                <w:b/>
              </w:rPr>
              <w:t>60.187.763.640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Sisa Lebih Perhitungan Anggaran Daerah Tahun Sebelumnya</w:t>
            </w:r>
          </w:p>
        </w:tc>
        <w:tc>
          <w:tcPr>
            <w:tcW w:w="2552" w:type="dxa"/>
          </w:tcPr>
          <w:p w:rsidR="00E94DEB" w:rsidRPr="006C6935" w:rsidRDefault="00E94DEB" w:rsidP="00E94DEB">
            <w:pPr>
              <w:spacing w:after="0" w:line="240" w:lineRule="auto"/>
              <w:ind w:left="-21" w:right="-20"/>
              <w:jc w:val="right"/>
              <w:rPr>
                <w:rFonts w:ascii="Arial" w:hAnsi="Arial" w:cs="Arial"/>
              </w:rPr>
            </w:pPr>
            <w:r w:rsidRPr="006C6935">
              <w:rPr>
                <w:rFonts w:ascii="Arial" w:hAnsi="Arial" w:cs="Arial"/>
              </w:rPr>
              <w:t>60.187.763.640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2</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Pencairan Dana Cadangan</w:t>
            </w:r>
          </w:p>
        </w:tc>
        <w:tc>
          <w:tcPr>
            <w:tcW w:w="2552" w:type="dxa"/>
          </w:tcPr>
          <w:p w:rsidR="00E94DEB" w:rsidRPr="006C6935" w:rsidRDefault="00E94DEB" w:rsidP="00E94DEB">
            <w:pPr>
              <w:spacing w:after="0" w:line="240" w:lineRule="auto"/>
              <w:ind w:left="-21" w:right="-20"/>
              <w:jc w:val="right"/>
              <w:rPr>
                <w:rFonts w:ascii="Arial" w:hAnsi="Arial" w:cs="Arial"/>
                <w:noProof/>
                <w:color w:val="000000"/>
              </w:rPr>
            </w:pPr>
            <w:r w:rsidRPr="006C6935">
              <w:rPr>
                <w:rFonts w:ascii="Arial" w:hAnsi="Arial" w:cs="Arial"/>
                <w:noProof/>
                <w:color w:val="000000"/>
              </w:rPr>
              <w:t>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Hasil Penjualan Kekayaan Daerah yang dipisahkan</w:t>
            </w:r>
          </w:p>
        </w:tc>
        <w:tc>
          <w:tcPr>
            <w:tcW w:w="2552" w:type="dxa"/>
          </w:tcPr>
          <w:p w:rsidR="00E94DEB" w:rsidRPr="006C6935" w:rsidRDefault="00E94DEB" w:rsidP="00E94DEB">
            <w:pPr>
              <w:spacing w:after="0" w:line="240" w:lineRule="auto"/>
              <w:ind w:left="-21" w:right="-20"/>
              <w:jc w:val="right"/>
              <w:rPr>
                <w:rFonts w:ascii="Arial" w:hAnsi="Arial" w:cs="Arial"/>
                <w:noProof/>
                <w:color w:val="000000"/>
              </w:rPr>
            </w:pPr>
            <w:r w:rsidRPr="006C6935">
              <w:rPr>
                <w:rFonts w:ascii="Arial" w:hAnsi="Arial" w:cs="Arial"/>
                <w:noProof/>
                <w:color w:val="000000"/>
              </w:rPr>
              <w:t>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4</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Penerimaan Pinjaman Daerah dan Obligasi Daerah</w:t>
            </w:r>
          </w:p>
        </w:tc>
        <w:tc>
          <w:tcPr>
            <w:tcW w:w="2552" w:type="dxa"/>
          </w:tcPr>
          <w:p w:rsidR="00E94DEB" w:rsidRPr="006C6935" w:rsidRDefault="00E94DEB" w:rsidP="00E94DEB">
            <w:pPr>
              <w:spacing w:after="0" w:line="240" w:lineRule="auto"/>
              <w:ind w:left="-21" w:right="-20"/>
              <w:jc w:val="right"/>
              <w:rPr>
                <w:rFonts w:ascii="Arial" w:hAnsi="Arial" w:cs="Arial"/>
                <w:noProof/>
                <w:color w:val="000000"/>
              </w:rPr>
            </w:pPr>
            <w:r w:rsidRPr="006C6935">
              <w:rPr>
                <w:rFonts w:ascii="Arial" w:hAnsi="Arial" w:cs="Arial"/>
                <w:noProof/>
                <w:color w:val="000000"/>
              </w:rPr>
              <w:t>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5</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Penerimaan Kembali Pemberian Pinjaman</w:t>
            </w:r>
          </w:p>
        </w:tc>
        <w:tc>
          <w:tcPr>
            <w:tcW w:w="2552" w:type="dxa"/>
          </w:tcPr>
          <w:p w:rsidR="00E94DEB" w:rsidRPr="006C6935" w:rsidRDefault="00E94DEB" w:rsidP="00E94DEB">
            <w:pPr>
              <w:spacing w:after="0" w:line="240" w:lineRule="auto"/>
              <w:ind w:left="-21" w:right="-20"/>
              <w:jc w:val="right"/>
              <w:rPr>
                <w:rFonts w:ascii="Arial" w:hAnsi="Arial" w:cs="Arial"/>
                <w:noProof/>
                <w:color w:val="000000"/>
              </w:rPr>
            </w:pPr>
            <w:r w:rsidRPr="006C6935">
              <w:rPr>
                <w:rFonts w:ascii="Arial" w:hAnsi="Arial" w:cs="Arial"/>
                <w:noProof/>
                <w:color w:val="000000"/>
              </w:rPr>
              <w:t>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6</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Penerimaan Piutang Daerah</w:t>
            </w:r>
          </w:p>
        </w:tc>
        <w:tc>
          <w:tcPr>
            <w:tcW w:w="2552" w:type="dxa"/>
          </w:tcPr>
          <w:p w:rsidR="00E94DEB" w:rsidRPr="006C6935" w:rsidRDefault="00E94DEB" w:rsidP="00E94DEB">
            <w:pPr>
              <w:spacing w:after="0" w:line="240" w:lineRule="auto"/>
              <w:ind w:left="-21" w:right="-20"/>
              <w:jc w:val="right"/>
              <w:rPr>
                <w:rFonts w:ascii="Arial" w:hAnsi="Arial" w:cs="Arial"/>
                <w:noProof/>
                <w:color w:val="000000"/>
              </w:rPr>
            </w:pPr>
            <w:r w:rsidRPr="006C6935">
              <w:rPr>
                <w:rFonts w:ascii="Arial" w:hAnsi="Arial" w:cs="Arial"/>
                <w:noProof/>
                <w:color w:val="000000"/>
              </w:rPr>
              <w:t>0</w:t>
            </w:r>
          </w:p>
        </w:tc>
      </w:tr>
      <w:tr w:rsidR="00E94DEB" w:rsidRPr="006C6935" w:rsidTr="00E94DEB">
        <w:trPr>
          <w:trHeight w:val="138"/>
        </w:trPr>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p>
        </w:tc>
        <w:tc>
          <w:tcPr>
            <w:tcW w:w="2552" w:type="dxa"/>
          </w:tcPr>
          <w:p w:rsidR="00E94DEB" w:rsidRPr="006C6935" w:rsidRDefault="00E94DEB" w:rsidP="00E94DEB">
            <w:pPr>
              <w:spacing w:after="0" w:line="240" w:lineRule="auto"/>
              <w:ind w:left="-21" w:right="-20"/>
              <w:jc w:val="right"/>
              <w:rPr>
                <w:rFonts w:ascii="Arial" w:hAnsi="Arial" w:cs="Arial"/>
                <w:noProof/>
                <w:color w:val="000000"/>
              </w:rPr>
            </w:pP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r w:rsidRPr="006C6935">
              <w:rPr>
                <w:rFonts w:ascii="Arial" w:hAnsi="Arial" w:cs="Arial"/>
                <w:b/>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r w:rsidRPr="006C6935">
              <w:rPr>
                <w:rFonts w:ascii="Arial" w:hAnsi="Arial" w:cs="Arial"/>
                <w:b/>
                <w:color w:val="000000"/>
                <w:sz w:val="22"/>
                <w:szCs w:val="22"/>
              </w:rPr>
              <w:t>2</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b/>
                <w:color w:val="000000"/>
                <w:sz w:val="22"/>
                <w:szCs w:val="22"/>
              </w:rPr>
            </w:pPr>
          </w:p>
        </w:tc>
        <w:tc>
          <w:tcPr>
            <w:tcW w:w="5386" w:type="dxa"/>
          </w:tcPr>
          <w:p w:rsidR="00E94DEB" w:rsidRPr="006C6935" w:rsidRDefault="00E94DEB" w:rsidP="00E94DEB">
            <w:pPr>
              <w:pStyle w:val="BodyTextIndent3"/>
              <w:spacing w:after="0" w:line="240" w:lineRule="auto"/>
              <w:ind w:left="0" w:firstLine="0"/>
              <w:rPr>
                <w:rFonts w:ascii="Arial" w:hAnsi="Arial" w:cs="Arial"/>
                <w:b/>
                <w:color w:val="000000"/>
                <w:sz w:val="22"/>
                <w:szCs w:val="22"/>
              </w:rPr>
            </w:pPr>
            <w:r w:rsidRPr="006C6935">
              <w:rPr>
                <w:rFonts w:ascii="Arial" w:hAnsi="Arial" w:cs="Arial"/>
                <w:b/>
                <w:color w:val="000000"/>
                <w:sz w:val="22"/>
                <w:szCs w:val="22"/>
              </w:rPr>
              <w:t>Pengeluaran Pembiayaan Daerah</w:t>
            </w:r>
          </w:p>
        </w:tc>
        <w:tc>
          <w:tcPr>
            <w:tcW w:w="2552" w:type="dxa"/>
          </w:tcPr>
          <w:p w:rsidR="00E94DEB" w:rsidRPr="006C6935" w:rsidRDefault="00E94DEB" w:rsidP="00E94DEB">
            <w:pPr>
              <w:spacing w:after="0" w:line="240" w:lineRule="auto"/>
              <w:ind w:left="-21" w:right="-20"/>
              <w:jc w:val="right"/>
              <w:rPr>
                <w:rFonts w:ascii="Arial" w:hAnsi="Arial" w:cs="Arial"/>
                <w:b/>
                <w:color w:val="000000"/>
              </w:rPr>
            </w:pPr>
            <w:r w:rsidRPr="006C6935">
              <w:rPr>
                <w:rFonts w:ascii="Arial" w:hAnsi="Arial" w:cs="Arial"/>
                <w:b/>
                <w:color w:val="000000"/>
              </w:rPr>
              <w:t>5.000.000.000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2</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1</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Pembentukan Dana Cadangan</w:t>
            </w:r>
          </w:p>
        </w:tc>
        <w:tc>
          <w:tcPr>
            <w:tcW w:w="2552" w:type="dxa"/>
          </w:tcPr>
          <w:p w:rsidR="00E94DEB" w:rsidRPr="006C6935" w:rsidRDefault="00E94DEB" w:rsidP="00E94DEB">
            <w:pPr>
              <w:spacing w:after="0" w:line="240" w:lineRule="auto"/>
              <w:ind w:left="-21" w:right="-20"/>
              <w:jc w:val="right"/>
              <w:rPr>
                <w:rFonts w:ascii="Arial" w:hAnsi="Arial" w:cs="Arial"/>
                <w:color w:val="000000"/>
              </w:rPr>
            </w:pPr>
            <w:r w:rsidRPr="006C6935">
              <w:rPr>
                <w:rFonts w:ascii="Arial" w:hAnsi="Arial" w:cs="Arial"/>
                <w:color w:val="000000"/>
              </w:rPr>
              <w:t>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2</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2</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Penyertaan Modal (Investasi) Pemerintah Daerah</w:t>
            </w:r>
          </w:p>
        </w:tc>
        <w:tc>
          <w:tcPr>
            <w:tcW w:w="2552" w:type="dxa"/>
          </w:tcPr>
          <w:p w:rsidR="00E94DEB" w:rsidRPr="006C6935" w:rsidRDefault="00E94DEB" w:rsidP="00E94DEB">
            <w:pPr>
              <w:spacing w:after="0" w:line="240" w:lineRule="auto"/>
              <w:ind w:left="-21" w:right="-20"/>
              <w:jc w:val="right"/>
              <w:rPr>
                <w:rFonts w:ascii="Arial" w:hAnsi="Arial" w:cs="Arial"/>
                <w:b/>
                <w:color w:val="000000"/>
              </w:rPr>
            </w:pPr>
            <w:r w:rsidRPr="006C6935">
              <w:rPr>
                <w:rFonts w:ascii="Arial" w:hAnsi="Arial" w:cs="Arial"/>
                <w:b/>
                <w:color w:val="000000"/>
              </w:rPr>
              <w:t>5.000.000.000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2</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Pembayaran Pokok utang</w:t>
            </w:r>
          </w:p>
        </w:tc>
        <w:tc>
          <w:tcPr>
            <w:tcW w:w="2552" w:type="dxa"/>
          </w:tcPr>
          <w:p w:rsidR="00E94DEB" w:rsidRPr="006C6935" w:rsidRDefault="00E94DEB" w:rsidP="00E94DEB">
            <w:pPr>
              <w:spacing w:after="0" w:line="240" w:lineRule="auto"/>
              <w:ind w:left="-21" w:right="-20"/>
              <w:jc w:val="right"/>
              <w:rPr>
                <w:rFonts w:ascii="Arial" w:hAnsi="Arial" w:cs="Arial"/>
                <w:color w:val="000000"/>
              </w:rPr>
            </w:pPr>
            <w:r w:rsidRPr="006C6935">
              <w:rPr>
                <w:rFonts w:ascii="Arial" w:hAnsi="Arial" w:cs="Arial"/>
                <w:color w:val="000000"/>
              </w:rPr>
              <w:t>0</w:t>
            </w:r>
          </w:p>
        </w:tc>
      </w:tr>
      <w:tr w:rsidR="00E94DEB" w:rsidRPr="006C6935" w:rsidTr="00E94DEB">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3</w:t>
            </w:r>
          </w:p>
        </w:tc>
        <w:tc>
          <w:tcPr>
            <w:tcW w:w="283"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2</w:t>
            </w:r>
          </w:p>
        </w:tc>
        <w:tc>
          <w:tcPr>
            <w:tcW w:w="284"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r w:rsidRPr="006C6935">
              <w:rPr>
                <w:rFonts w:ascii="Arial" w:hAnsi="Arial" w:cs="Arial"/>
                <w:color w:val="000000"/>
                <w:sz w:val="22"/>
                <w:szCs w:val="22"/>
              </w:rPr>
              <w:t>4</w:t>
            </w: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color w:val="000000"/>
                <w:sz w:val="22"/>
                <w:szCs w:val="22"/>
              </w:rPr>
              <w:t>Pemberian Pinjaman daerah</w:t>
            </w:r>
          </w:p>
        </w:tc>
        <w:tc>
          <w:tcPr>
            <w:tcW w:w="2552" w:type="dxa"/>
          </w:tcPr>
          <w:p w:rsidR="00E94DEB" w:rsidRPr="006C6935" w:rsidRDefault="00E94DEB" w:rsidP="00E94DEB">
            <w:pPr>
              <w:spacing w:after="0" w:line="240" w:lineRule="auto"/>
              <w:ind w:left="-21" w:right="-20"/>
              <w:jc w:val="right"/>
              <w:rPr>
                <w:rFonts w:ascii="Arial" w:hAnsi="Arial" w:cs="Arial"/>
                <w:color w:val="000000"/>
              </w:rPr>
            </w:pPr>
            <w:r w:rsidRPr="006C6935">
              <w:rPr>
                <w:rFonts w:ascii="Arial" w:hAnsi="Arial" w:cs="Arial"/>
                <w:color w:val="000000"/>
              </w:rPr>
              <w:t>0</w:t>
            </w:r>
          </w:p>
        </w:tc>
      </w:tr>
      <w:tr w:rsidR="00E94DEB" w:rsidRPr="006C6935" w:rsidTr="00E94DEB">
        <w:trPr>
          <w:trHeight w:val="390"/>
        </w:trPr>
        <w:tc>
          <w:tcPr>
            <w:tcW w:w="392" w:type="dxa"/>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p>
        </w:tc>
        <w:tc>
          <w:tcPr>
            <w:tcW w:w="283" w:type="dxa"/>
            <w:vAlign w:val="center"/>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p>
        </w:tc>
        <w:tc>
          <w:tcPr>
            <w:tcW w:w="284" w:type="dxa"/>
            <w:vAlign w:val="center"/>
          </w:tcPr>
          <w:p w:rsidR="00E94DEB" w:rsidRPr="006C6935" w:rsidRDefault="00E94DEB" w:rsidP="00E94DEB">
            <w:pPr>
              <w:pStyle w:val="BodyTextIndent3"/>
              <w:spacing w:after="0" w:line="240" w:lineRule="auto"/>
              <w:ind w:left="-70" w:right="-76" w:firstLine="0"/>
              <w:jc w:val="center"/>
              <w:rPr>
                <w:rFonts w:ascii="Arial" w:hAnsi="Arial" w:cs="Arial"/>
                <w:color w:val="000000"/>
                <w:sz w:val="22"/>
                <w:szCs w:val="22"/>
              </w:rPr>
            </w:pPr>
          </w:p>
        </w:tc>
        <w:tc>
          <w:tcPr>
            <w:tcW w:w="5386" w:type="dxa"/>
            <w:vAlign w:val="center"/>
          </w:tcPr>
          <w:p w:rsidR="00E94DEB" w:rsidRPr="006C6935" w:rsidRDefault="00E94DEB" w:rsidP="00E94DEB">
            <w:pPr>
              <w:pStyle w:val="BodyTextIndent3"/>
              <w:spacing w:after="0" w:line="240" w:lineRule="auto"/>
              <w:ind w:left="0" w:firstLine="0"/>
              <w:jc w:val="left"/>
              <w:rPr>
                <w:rFonts w:ascii="Arial" w:hAnsi="Arial" w:cs="Arial"/>
                <w:b/>
                <w:color w:val="000000"/>
                <w:sz w:val="22"/>
                <w:szCs w:val="22"/>
              </w:rPr>
            </w:pPr>
            <w:r w:rsidRPr="006C6935">
              <w:rPr>
                <w:rFonts w:ascii="Arial" w:hAnsi="Arial" w:cs="Arial"/>
                <w:b/>
                <w:color w:val="000000"/>
                <w:sz w:val="22"/>
                <w:szCs w:val="22"/>
              </w:rPr>
              <w:t>Jumlah Pembiayaan Neto</w:t>
            </w:r>
          </w:p>
        </w:tc>
        <w:tc>
          <w:tcPr>
            <w:tcW w:w="2552" w:type="dxa"/>
          </w:tcPr>
          <w:p w:rsidR="00E94DEB" w:rsidRPr="006C6935" w:rsidRDefault="00E94DEB" w:rsidP="00E94DEB">
            <w:pPr>
              <w:spacing w:after="0" w:line="240" w:lineRule="auto"/>
              <w:ind w:left="-21" w:right="-20"/>
              <w:jc w:val="right"/>
              <w:rPr>
                <w:rFonts w:ascii="Arial" w:hAnsi="Arial" w:cs="Arial"/>
                <w:b/>
                <w:noProof/>
              </w:rPr>
            </w:pPr>
            <w:r w:rsidRPr="006C6935">
              <w:rPr>
                <w:rFonts w:ascii="Arial" w:hAnsi="Arial" w:cs="Arial"/>
                <w:b/>
                <w:noProof/>
              </w:rPr>
              <w:t>55.187.763.640</w:t>
            </w:r>
          </w:p>
        </w:tc>
      </w:tr>
      <w:tr w:rsidR="00E94DEB" w:rsidRPr="006C6935" w:rsidTr="00E94DEB">
        <w:tc>
          <w:tcPr>
            <w:tcW w:w="392"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p>
        </w:tc>
        <w:tc>
          <w:tcPr>
            <w:tcW w:w="283" w:type="dxa"/>
          </w:tcPr>
          <w:p w:rsidR="00E94DEB" w:rsidRPr="006C6935" w:rsidRDefault="00E94DEB" w:rsidP="00E94DEB">
            <w:pPr>
              <w:pStyle w:val="BodyTextIndent3"/>
              <w:spacing w:after="0" w:line="240" w:lineRule="auto"/>
              <w:ind w:firstLine="0"/>
              <w:rPr>
                <w:rFonts w:ascii="Arial" w:hAnsi="Arial" w:cs="Arial"/>
                <w:color w:val="000000"/>
                <w:sz w:val="22"/>
                <w:szCs w:val="22"/>
              </w:rPr>
            </w:pPr>
            <w:r w:rsidRPr="006C6935">
              <w:rPr>
                <w:rFonts w:ascii="Arial" w:hAnsi="Arial" w:cs="Arial"/>
                <w:color w:val="000000"/>
                <w:sz w:val="22"/>
                <w:szCs w:val="22"/>
              </w:rPr>
              <w:t>3</w:t>
            </w:r>
          </w:p>
        </w:tc>
        <w:tc>
          <w:tcPr>
            <w:tcW w:w="284" w:type="dxa"/>
          </w:tcPr>
          <w:p w:rsidR="00E94DEB" w:rsidRPr="006C6935" w:rsidRDefault="00E94DEB" w:rsidP="00E94DEB">
            <w:pPr>
              <w:pStyle w:val="BodyTextIndent3"/>
              <w:spacing w:after="0" w:line="240" w:lineRule="auto"/>
              <w:ind w:firstLine="0"/>
              <w:rPr>
                <w:rFonts w:ascii="Arial" w:hAnsi="Arial" w:cs="Arial"/>
                <w:color w:val="000000"/>
                <w:sz w:val="22"/>
                <w:szCs w:val="22"/>
              </w:rPr>
            </w:pPr>
          </w:p>
        </w:tc>
        <w:tc>
          <w:tcPr>
            <w:tcW w:w="5386" w:type="dxa"/>
          </w:tcPr>
          <w:p w:rsidR="00E94DEB" w:rsidRPr="006C6935" w:rsidRDefault="00E94DEB" w:rsidP="00E94DEB">
            <w:pPr>
              <w:pStyle w:val="BodyTextIndent3"/>
              <w:spacing w:after="0" w:line="240" w:lineRule="auto"/>
              <w:ind w:left="0" w:firstLine="0"/>
              <w:rPr>
                <w:rFonts w:ascii="Arial" w:hAnsi="Arial" w:cs="Arial"/>
                <w:color w:val="000000"/>
                <w:sz w:val="22"/>
                <w:szCs w:val="22"/>
              </w:rPr>
            </w:pPr>
            <w:r w:rsidRPr="006C6935">
              <w:rPr>
                <w:rFonts w:ascii="Arial" w:hAnsi="Arial" w:cs="Arial"/>
                <w:b/>
                <w:color w:val="000000"/>
                <w:sz w:val="22"/>
                <w:szCs w:val="22"/>
              </w:rPr>
              <w:t>Sisa Lebih Pembiayaan Anggaran Tahun Berkenaan (SILPA</w:t>
            </w:r>
            <w:r w:rsidRPr="006C6935">
              <w:rPr>
                <w:rFonts w:ascii="Arial" w:hAnsi="Arial" w:cs="Arial"/>
                <w:color w:val="000000"/>
                <w:sz w:val="22"/>
                <w:szCs w:val="22"/>
              </w:rPr>
              <w:t>)</w:t>
            </w:r>
          </w:p>
        </w:tc>
        <w:tc>
          <w:tcPr>
            <w:tcW w:w="2552" w:type="dxa"/>
          </w:tcPr>
          <w:p w:rsidR="00E94DEB" w:rsidRPr="006C6935" w:rsidRDefault="00E94DEB" w:rsidP="00E94DEB">
            <w:pPr>
              <w:spacing w:after="0" w:line="240" w:lineRule="auto"/>
              <w:ind w:left="-21" w:right="-20"/>
              <w:jc w:val="right"/>
              <w:rPr>
                <w:rFonts w:ascii="Arial" w:hAnsi="Arial" w:cs="Arial"/>
                <w:color w:val="000000"/>
              </w:rPr>
            </w:pPr>
            <w:r w:rsidRPr="006C6935">
              <w:rPr>
                <w:rFonts w:ascii="Arial" w:hAnsi="Arial" w:cs="Arial"/>
                <w:color w:val="000000"/>
              </w:rPr>
              <w:t>0</w:t>
            </w:r>
          </w:p>
        </w:tc>
      </w:tr>
    </w:tbl>
    <w:p w:rsidR="00E94DEB" w:rsidRDefault="00E94DEB" w:rsidP="004C4B90">
      <w:pPr>
        <w:spacing w:after="0" w:line="240" w:lineRule="auto"/>
        <w:jc w:val="center"/>
        <w:rPr>
          <w:rFonts w:ascii="Arial" w:hAnsi="Arial" w:cs="Arial"/>
          <w:b/>
          <w:bCs/>
          <w:sz w:val="24"/>
          <w:szCs w:val="24"/>
        </w:rPr>
      </w:pPr>
    </w:p>
    <w:p w:rsidR="00E94DEB" w:rsidRDefault="00E94DEB" w:rsidP="004C4B90">
      <w:pPr>
        <w:spacing w:after="0" w:line="240" w:lineRule="auto"/>
        <w:jc w:val="center"/>
        <w:rPr>
          <w:rFonts w:ascii="Arial" w:hAnsi="Arial" w:cs="Arial"/>
          <w:b/>
          <w:bCs/>
          <w:sz w:val="24"/>
          <w:szCs w:val="24"/>
        </w:rPr>
      </w:pPr>
    </w:p>
    <w:p w:rsidR="00E94DEB" w:rsidRDefault="00E94DEB" w:rsidP="004C4B90">
      <w:pPr>
        <w:spacing w:after="0" w:line="240" w:lineRule="auto"/>
        <w:jc w:val="center"/>
        <w:rPr>
          <w:rFonts w:ascii="Arial" w:hAnsi="Arial" w:cs="Arial"/>
          <w:b/>
          <w:bCs/>
          <w:sz w:val="24"/>
          <w:szCs w:val="24"/>
        </w:rPr>
      </w:pPr>
    </w:p>
    <w:p w:rsidR="004C4B90" w:rsidRPr="004C4B90" w:rsidRDefault="004C4B90" w:rsidP="004C4B90">
      <w:pPr>
        <w:jc w:val="both"/>
        <w:rPr>
          <w:color w:val="FF0000"/>
        </w:rPr>
      </w:pPr>
    </w:p>
    <w:sectPr w:rsidR="004C4B90" w:rsidRPr="004C4B90" w:rsidSect="00E94DEB">
      <w:footerReference w:type="default" r:id="rId7"/>
      <w:pgSz w:w="11906" w:h="16838" w:code="9"/>
      <w:pgMar w:top="1304" w:right="1418" w:bottom="130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1017" w:rsidRDefault="00C01017" w:rsidP="00E94DEB">
      <w:pPr>
        <w:spacing w:after="0" w:line="240" w:lineRule="auto"/>
      </w:pPr>
      <w:r>
        <w:separator/>
      </w:r>
    </w:p>
  </w:endnote>
  <w:endnote w:type="continuationSeparator" w:id="1">
    <w:p w:rsidR="00C01017" w:rsidRDefault="00C01017" w:rsidP="00E94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DEB" w:rsidRDefault="00E94DEB">
    <w:pPr>
      <w:pStyle w:val="Footer"/>
      <w:pBdr>
        <w:top w:val="thinThickSmallGap" w:sz="24" w:space="1" w:color="622423" w:themeColor="accent2" w:themeShade="7F"/>
      </w:pBdr>
      <w:rPr>
        <w:rFonts w:asciiTheme="majorHAnsi" w:hAnsiTheme="majorHAnsi"/>
      </w:rPr>
    </w:pPr>
    <w:r w:rsidRPr="00EA5576">
      <w:rPr>
        <w:rFonts w:asciiTheme="majorHAnsi" w:hAnsiTheme="majorHAnsi"/>
        <w:i/>
        <w:sz w:val="18"/>
        <w:szCs w:val="18"/>
      </w:rPr>
      <w:t>Rancangan Prioritas dan Plafon Anggaran Sementara RAPBD Kota Payakumbuh Tahun 2016</w:t>
    </w:r>
    <w:r>
      <w:rPr>
        <w:rFonts w:asciiTheme="majorHAnsi" w:hAnsiTheme="majorHAnsi"/>
      </w:rPr>
      <w:ptab w:relativeTo="margin" w:alignment="right" w:leader="none"/>
    </w:r>
    <w:r w:rsidR="00733627">
      <w:rPr>
        <w:rFonts w:asciiTheme="majorHAnsi" w:hAnsiTheme="majorHAnsi"/>
      </w:rPr>
      <w:t>V -</w:t>
    </w:r>
    <w:r>
      <w:rPr>
        <w:rFonts w:asciiTheme="majorHAnsi" w:hAnsiTheme="majorHAnsi"/>
      </w:rPr>
      <w:t xml:space="preserve"> </w:t>
    </w:r>
    <w:fldSimple w:instr=" PAGE   \* MERGEFORMAT ">
      <w:r w:rsidR="000C26A2" w:rsidRPr="000C26A2">
        <w:rPr>
          <w:rFonts w:asciiTheme="majorHAnsi" w:hAnsiTheme="majorHAnsi"/>
          <w:noProof/>
        </w:rPr>
        <w:t>1</w:t>
      </w:r>
    </w:fldSimple>
  </w:p>
  <w:p w:rsidR="00E94DEB" w:rsidRDefault="00E94DE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1017" w:rsidRDefault="00C01017" w:rsidP="00E94DEB">
      <w:pPr>
        <w:spacing w:after="0" w:line="240" w:lineRule="auto"/>
      </w:pPr>
      <w:r>
        <w:separator/>
      </w:r>
    </w:p>
  </w:footnote>
  <w:footnote w:type="continuationSeparator" w:id="1">
    <w:p w:rsidR="00C01017" w:rsidRDefault="00C01017" w:rsidP="00E94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3442F"/>
    <w:multiLevelType w:val="hybridMultilevel"/>
    <w:tmpl w:val="2DEC16AA"/>
    <w:lvl w:ilvl="0" w:tplc="EC3EAE34">
      <w:start w:val="1"/>
      <w:numFmt w:val="lowerLetter"/>
      <w:lvlText w:val="%1."/>
      <w:lvlJc w:val="left"/>
      <w:pPr>
        <w:tabs>
          <w:tab w:val="num" w:pos="2952"/>
        </w:tabs>
        <w:ind w:left="2952" w:hanging="360"/>
      </w:pPr>
      <w:rPr>
        <w:rFonts w:ascii="Arial" w:eastAsia="Times New Roman" w:hAnsi="Arial" w:cs="Arial"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367849D2"/>
    <w:multiLevelType w:val="hybridMultilevel"/>
    <w:tmpl w:val="856E432C"/>
    <w:lvl w:ilvl="0" w:tplc="2D80DD90">
      <w:start w:val="1"/>
      <w:numFmt w:val="decimal"/>
      <w:lvlText w:val="%1)"/>
      <w:lvlJc w:val="left"/>
      <w:pPr>
        <w:ind w:left="2952" w:hanging="360"/>
      </w:pPr>
      <w:rPr>
        <w:rFonts w:cs="Times New Roman"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5D91EDA"/>
    <w:multiLevelType w:val="hybridMultilevel"/>
    <w:tmpl w:val="9454D802"/>
    <w:lvl w:ilvl="0" w:tplc="89DE949C">
      <w:start w:val="1"/>
      <w:numFmt w:val="decimal"/>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675F7A1B"/>
    <w:multiLevelType w:val="hybridMultilevel"/>
    <w:tmpl w:val="4EC8C558"/>
    <w:lvl w:ilvl="0" w:tplc="4ECC3954">
      <w:start w:val="1"/>
      <w:numFmt w:val="decimal"/>
      <w:lvlText w:val="%1)"/>
      <w:lvlJc w:val="left"/>
      <w:pPr>
        <w:ind w:left="2952" w:hanging="360"/>
      </w:pPr>
      <w:rPr>
        <w:rFonts w:cs="Times New Roman"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B0050"/>
    <w:rsid w:val="00010745"/>
    <w:rsid w:val="00010D78"/>
    <w:rsid w:val="000160A0"/>
    <w:rsid w:val="00016C02"/>
    <w:rsid w:val="00022907"/>
    <w:rsid w:val="000241B7"/>
    <w:rsid w:val="0002584C"/>
    <w:rsid w:val="00033CCA"/>
    <w:rsid w:val="00037517"/>
    <w:rsid w:val="00054657"/>
    <w:rsid w:val="000559C7"/>
    <w:rsid w:val="00062FE5"/>
    <w:rsid w:val="00064577"/>
    <w:rsid w:val="000700EB"/>
    <w:rsid w:val="00070C5A"/>
    <w:rsid w:val="00070ED7"/>
    <w:rsid w:val="0007109F"/>
    <w:rsid w:val="00076EE9"/>
    <w:rsid w:val="00081B65"/>
    <w:rsid w:val="00094826"/>
    <w:rsid w:val="00094CB5"/>
    <w:rsid w:val="0009618C"/>
    <w:rsid w:val="000B1E97"/>
    <w:rsid w:val="000C26A2"/>
    <w:rsid w:val="000C513C"/>
    <w:rsid w:val="000C7E2A"/>
    <w:rsid w:val="000D582A"/>
    <w:rsid w:val="000E0217"/>
    <w:rsid w:val="000F065C"/>
    <w:rsid w:val="000F1643"/>
    <w:rsid w:val="000F7DDB"/>
    <w:rsid w:val="001026B4"/>
    <w:rsid w:val="00107A97"/>
    <w:rsid w:val="00114859"/>
    <w:rsid w:val="0012207B"/>
    <w:rsid w:val="00122D46"/>
    <w:rsid w:val="00135EEE"/>
    <w:rsid w:val="00152250"/>
    <w:rsid w:val="00162C8A"/>
    <w:rsid w:val="00163896"/>
    <w:rsid w:val="001731F8"/>
    <w:rsid w:val="00173C7B"/>
    <w:rsid w:val="001811D4"/>
    <w:rsid w:val="0018164F"/>
    <w:rsid w:val="00184DCC"/>
    <w:rsid w:val="00191691"/>
    <w:rsid w:val="00191CCD"/>
    <w:rsid w:val="00197C11"/>
    <w:rsid w:val="001A06E7"/>
    <w:rsid w:val="001B121E"/>
    <w:rsid w:val="001B3752"/>
    <w:rsid w:val="001B3ECC"/>
    <w:rsid w:val="001B4696"/>
    <w:rsid w:val="001B4B69"/>
    <w:rsid w:val="001C2CE7"/>
    <w:rsid w:val="001C699C"/>
    <w:rsid w:val="001D4071"/>
    <w:rsid w:val="001E0C7E"/>
    <w:rsid w:val="001E24A7"/>
    <w:rsid w:val="001E4C5E"/>
    <w:rsid w:val="001E5F9A"/>
    <w:rsid w:val="001F1C4D"/>
    <w:rsid w:val="001F2134"/>
    <w:rsid w:val="001F34B3"/>
    <w:rsid w:val="001F5C24"/>
    <w:rsid w:val="001F71BF"/>
    <w:rsid w:val="00203853"/>
    <w:rsid w:val="00203D86"/>
    <w:rsid w:val="002129FE"/>
    <w:rsid w:val="002202D7"/>
    <w:rsid w:val="00227B5E"/>
    <w:rsid w:val="00235691"/>
    <w:rsid w:val="0024143A"/>
    <w:rsid w:val="00241AEB"/>
    <w:rsid w:val="00242FF6"/>
    <w:rsid w:val="00251452"/>
    <w:rsid w:val="00254BF6"/>
    <w:rsid w:val="00264CA2"/>
    <w:rsid w:val="00271A11"/>
    <w:rsid w:val="00272807"/>
    <w:rsid w:val="00284E47"/>
    <w:rsid w:val="00287E03"/>
    <w:rsid w:val="00296A03"/>
    <w:rsid w:val="002A0928"/>
    <w:rsid w:val="002B258D"/>
    <w:rsid w:val="002B2646"/>
    <w:rsid w:val="002C1B0A"/>
    <w:rsid w:val="002C6017"/>
    <w:rsid w:val="002D1ADC"/>
    <w:rsid w:val="002D5CA8"/>
    <w:rsid w:val="002E3F60"/>
    <w:rsid w:val="002E5080"/>
    <w:rsid w:val="002E68EB"/>
    <w:rsid w:val="002F4704"/>
    <w:rsid w:val="002F5C49"/>
    <w:rsid w:val="003118AF"/>
    <w:rsid w:val="00317407"/>
    <w:rsid w:val="00326575"/>
    <w:rsid w:val="00333559"/>
    <w:rsid w:val="00335BFD"/>
    <w:rsid w:val="00336DD9"/>
    <w:rsid w:val="00341D1A"/>
    <w:rsid w:val="00343CE6"/>
    <w:rsid w:val="00346C02"/>
    <w:rsid w:val="003526C6"/>
    <w:rsid w:val="0036601A"/>
    <w:rsid w:val="00371141"/>
    <w:rsid w:val="00371C4C"/>
    <w:rsid w:val="00377EAC"/>
    <w:rsid w:val="00377F6B"/>
    <w:rsid w:val="0038729D"/>
    <w:rsid w:val="00392B0E"/>
    <w:rsid w:val="003B0A07"/>
    <w:rsid w:val="003D0F87"/>
    <w:rsid w:val="003D1BE3"/>
    <w:rsid w:val="003D77CF"/>
    <w:rsid w:val="003F44FF"/>
    <w:rsid w:val="003F5738"/>
    <w:rsid w:val="004015E9"/>
    <w:rsid w:val="00403671"/>
    <w:rsid w:val="004362A0"/>
    <w:rsid w:val="004700B6"/>
    <w:rsid w:val="00473006"/>
    <w:rsid w:val="00480521"/>
    <w:rsid w:val="00486D27"/>
    <w:rsid w:val="004878BD"/>
    <w:rsid w:val="004A5D03"/>
    <w:rsid w:val="004B2DA8"/>
    <w:rsid w:val="004C4B90"/>
    <w:rsid w:val="004D2636"/>
    <w:rsid w:val="004D48AD"/>
    <w:rsid w:val="004E0FC0"/>
    <w:rsid w:val="004E736D"/>
    <w:rsid w:val="004F2442"/>
    <w:rsid w:val="004F524E"/>
    <w:rsid w:val="004F6135"/>
    <w:rsid w:val="004F7577"/>
    <w:rsid w:val="0050085F"/>
    <w:rsid w:val="00501FA7"/>
    <w:rsid w:val="00503054"/>
    <w:rsid w:val="00516974"/>
    <w:rsid w:val="00520BFD"/>
    <w:rsid w:val="00522E74"/>
    <w:rsid w:val="00523D1E"/>
    <w:rsid w:val="00526BEA"/>
    <w:rsid w:val="00530F6F"/>
    <w:rsid w:val="0053266B"/>
    <w:rsid w:val="005359AB"/>
    <w:rsid w:val="005369B3"/>
    <w:rsid w:val="005416BA"/>
    <w:rsid w:val="00545461"/>
    <w:rsid w:val="00547B90"/>
    <w:rsid w:val="0055635F"/>
    <w:rsid w:val="00556870"/>
    <w:rsid w:val="00561790"/>
    <w:rsid w:val="005642F5"/>
    <w:rsid w:val="00570FF0"/>
    <w:rsid w:val="00572BDD"/>
    <w:rsid w:val="00582A79"/>
    <w:rsid w:val="00585C5D"/>
    <w:rsid w:val="00597FC7"/>
    <w:rsid w:val="005A11F0"/>
    <w:rsid w:val="005B1186"/>
    <w:rsid w:val="005C055D"/>
    <w:rsid w:val="005C19E4"/>
    <w:rsid w:val="005C2FFE"/>
    <w:rsid w:val="005C52AD"/>
    <w:rsid w:val="005C575A"/>
    <w:rsid w:val="005C5E94"/>
    <w:rsid w:val="005C658C"/>
    <w:rsid w:val="005C693F"/>
    <w:rsid w:val="005D3DF8"/>
    <w:rsid w:val="005D5CA4"/>
    <w:rsid w:val="005E22CE"/>
    <w:rsid w:val="005E38E9"/>
    <w:rsid w:val="005E6F2D"/>
    <w:rsid w:val="005F3532"/>
    <w:rsid w:val="00603552"/>
    <w:rsid w:val="006048ED"/>
    <w:rsid w:val="00613787"/>
    <w:rsid w:val="00616619"/>
    <w:rsid w:val="006210AB"/>
    <w:rsid w:val="0062419E"/>
    <w:rsid w:val="00634561"/>
    <w:rsid w:val="00636FFB"/>
    <w:rsid w:val="006444B2"/>
    <w:rsid w:val="006458C7"/>
    <w:rsid w:val="00647B35"/>
    <w:rsid w:val="00654D19"/>
    <w:rsid w:val="00654E94"/>
    <w:rsid w:val="0065511C"/>
    <w:rsid w:val="00655E19"/>
    <w:rsid w:val="0066025C"/>
    <w:rsid w:val="006672B3"/>
    <w:rsid w:val="006701E2"/>
    <w:rsid w:val="00674FE1"/>
    <w:rsid w:val="00677D1B"/>
    <w:rsid w:val="00682049"/>
    <w:rsid w:val="0068686B"/>
    <w:rsid w:val="00690F9A"/>
    <w:rsid w:val="0069301A"/>
    <w:rsid w:val="00693289"/>
    <w:rsid w:val="00695367"/>
    <w:rsid w:val="006A1517"/>
    <w:rsid w:val="006B0619"/>
    <w:rsid w:val="006B0799"/>
    <w:rsid w:val="006C0FAF"/>
    <w:rsid w:val="006C6654"/>
    <w:rsid w:val="006C6935"/>
    <w:rsid w:val="006C7A9C"/>
    <w:rsid w:val="006D138C"/>
    <w:rsid w:val="006D3E4E"/>
    <w:rsid w:val="006E473A"/>
    <w:rsid w:val="006F2029"/>
    <w:rsid w:val="006F2FFB"/>
    <w:rsid w:val="006F3B1D"/>
    <w:rsid w:val="006F7DF1"/>
    <w:rsid w:val="00702DFD"/>
    <w:rsid w:val="00706DF5"/>
    <w:rsid w:val="00713F34"/>
    <w:rsid w:val="00716A8E"/>
    <w:rsid w:val="007279B4"/>
    <w:rsid w:val="0073268F"/>
    <w:rsid w:val="00733075"/>
    <w:rsid w:val="00733627"/>
    <w:rsid w:val="00737C33"/>
    <w:rsid w:val="007401C6"/>
    <w:rsid w:val="00742B1B"/>
    <w:rsid w:val="00763DE2"/>
    <w:rsid w:val="00776046"/>
    <w:rsid w:val="00777FEF"/>
    <w:rsid w:val="00786359"/>
    <w:rsid w:val="00787CD5"/>
    <w:rsid w:val="0079095A"/>
    <w:rsid w:val="00790D3B"/>
    <w:rsid w:val="007A2D5D"/>
    <w:rsid w:val="007A508C"/>
    <w:rsid w:val="007B4659"/>
    <w:rsid w:val="007C01AA"/>
    <w:rsid w:val="007D0FF6"/>
    <w:rsid w:val="007E7D94"/>
    <w:rsid w:val="007F33BF"/>
    <w:rsid w:val="007F342C"/>
    <w:rsid w:val="007F5619"/>
    <w:rsid w:val="007F67BC"/>
    <w:rsid w:val="00802A4E"/>
    <w:rsid w:val="00805E82"/>
    <w:rsid w:val="00807D36"/>
    <w:rsid w:val="00810454"/>
    <w:rsid w:val="0081274C"/>
    <w:rsid w:val="008225A9"/>
    <w:rsid w:val="00824A11"/>
    <w:rsid w:val="00827373"/>
    <w:rsid w:val="00830EFB"/>
    <w:rsid w:val="00832DB7"/>
    <w:rsid w:val="00835939"/>
    <w:rsid w:val="00837D70"/>
    <w:rsid w:val="0084776C"/>
    <w:rsid w:val="00860704"/>
    <w:rsid w:val="00862C39"/>
    <w:rsid w:val="00870477"/>
    <w:rsid w:val="008736F6"/>
    <w:rsid w:val="00874457"/>
    <w:rsid w:val="00874B99"/>
    <w:rsid w:val="00876D59"/>
    <w:rsid w:val="00890FFB"/>
    <w:rsid w:val="008915D7"/>
    <w:rsid w:val="00895A28"/>
    <w:rsid w:val="008A2042"/>
    <w:rsid w:val="008A5095"/>
    <w:rsid w:val="008A59A7"/>
    <w:rsid w:val="008B0050"/>
    <w:rsid w:val="008B5470"/>
    <w:rsid w:val="008B6C44"/>
    <w:rsid w:val="008B7AE4"/>
    <w:rsid w:val="008D12D4"/>
    <w:rsid w:val="008D4D23"/>
    <w:rsid w:val="008D5A3B"/>
    <w:rsid w:val="008E7C94"/>
    <w:rsid w:val="008F6709"/>
    <w:rsid w:val="008F6D12"/>
    <w:rsid w:val="009047B4"/>
    <w:rsid w:val="0090688F"/>
    <w:rsid w:val="00940D9D"/>
    <w:rsid w:val="009458D9"/>
    <w:rsid w:val="00946009"/>
    <w:rsid w:val="00961C7F"/>
    <w:rsid w:val="0096474B"/>
    <w:rsid w:val="009753F3"/>
    <w:rsid w:val="00975E96"/>
    <w:rsid w:val="00983C78"/>
    <w:rsid w:val="009872BB"/>
    <w:rsid w:val="0099141F"/>
    <w:rsid w:val="00992388"/>
    <w:rsid w:val="0099643F"/>
    <w:rsid w:val="009B26E3"/>
    <w:rsid w:val="009B2CC0"/>
    <w:rsid w:val="009B3B34"/>
    <w:rsid w:val="009B3BD3"/>
    <w:rsid w:val="009D1769"/>
    <w:rsid w:val="009D3688"/>
    <w:rsid w:val="009D50DD"/>
    <w:rsid w:val="009E3E29"/>
    <w:rsid w:val="009E54F3"/>
    <w:rsid w:val="009E731A"/>
    <w:rsid w:val="009F0571"/>
    <w:rsid w:val="009F66A8"/>
    <w:rsid w:val="00A0133C"/>
    <w:rsid w:val="00A0423A"/>
    <w:rsid w:val="00A06DFE"/>
    <w:rsid w:val="00A11078"/>
    <w:rsid w:val="00A22BC1"/>
    <w:rsid w:val="00A25261"/>
    <w:rsid w:val="00A264E7"/>
    <w:rsid w:val="00A26EBE"/>
    <w:rsid w:val="00A35D3B"/>
    <w:rsid w:val="00A37608"/>
    <w:rsid w:val="00A47E44"/>
    <w:rsid w:val="00A52F61"/>
    <w:rsid w:val="00A54225"/>
    <w:rsid w:val="00A61B7D"/>
    <w:rsid w:val="00A67730"/>
    <w:rsid w:val="00A7555E"/>
    <w:rsid w:val="00A76CC0"/>
    <w:rsid w:val="00A76FD1"/>
    <w:rsid w:val="00A86DA2"/>
    <w:rsid w:val="00A91C64"/>
    <w:rsid w:val="00A94F2A"/>
    <w:rsid w:val="00A95E5B"/>
    <w:rsid w:val="00A97AC7"/>
    <w:rsid w:val="00AA0318"/>
    <w:rsid w:val="00AA227E"/>
    <w:rsid w:val="00AA3D29"/>
    <w:rsid w:val="00AA5727"/>
    <w:rsid w:val="00AE4FBA"/>
    <w:rsid w:val="00AF48FA"/>
    <w:rsid w:val="00AF5B83"/>
    <w:rsid w:val="00B02445"/>
    <w:rsid w:val="00B156B6"/>
    <w:rsid w:val="00B2182D"/>
    <w:rsid w:val="00B229B2"/>
    <w:rsid w:val="00B42DB7"/>
    <w:rsid w:val="00B50CE5"/>
    <w:rsid w:val="00B60489"/>
    <w:rsid w:val="00B66580"/>
    <w:rsid w:val="00B66869"/>
    <w:rsid w:val="00B67A3B"/>
    <w:rsid w:val="00B67CFF"/>
    <w:rsid w:val="00B70DEC"/>
    <w:rsid w:val="00B81336"/>
    <w:rsid w:val="00B85E00"/>
    <w:rsid w:val="00B9370D"/>
    <w:rsid w:val="00B95520"/>
    <w:rsid w:val="00B95B35"/>
    <w:rsid w:val="00B95C44"/>
    <w:rsid w:val="00B96564"/>
    <w:rsid w:val="00BA1104"/>
    <w:rsid w:val="00BA2F3A"/>
    <w:rsid w:val="00BA578B"/>
    <w:rsid w:val="00BB0838"/>
    <w:rsid w:val="00BB4028"/>
    <w:rsid w:val="00BC2473"/>
    <w:rsid w:val="00BD1D07"/>
    <w:rsid w:val="00BF332B"/>
    <w:rsid w:val="00C0072A"/>
    <w:rsid w:val="00C01017"/>
    <w:rsid w:val="00C041D9"/>
    <w:rsid w:val="00C05111"/>
    <w:rsid w:val="00C06223"/>
    <w:rsid w:val="00C16A12"/>
    <w:rsid w:val="00C2793B"/>
    <w:rsid w:val="00C3335A"/>
    <w:rsid w:val="00C33526"/>
    <w:rsid w:val="00C3777E"/>
    <w:rsid w:val="00C406AD"/>
    <w:rsid w:val="00C40969"/>
    <w:rsid w:val="00C50A1F"/>
    <w:rsid w:val="00C52144"/>
    <w:rsid w:val="00C71B2C"/>
    <w:rsid w:val="00C743FA"/>
    <w:rsid w:val="00C81F28"/>
    <w:rsid w:val="00C91483"/>
    <w:rsid w:val="00C949F4"/>
    <w:rsid w:val="00CA0A4A"/>
    <w:rsid w:val="00CA16F5"/>
    <w:rsid w:val="00CA1D8C"/>
    <w:rsid w:val="00CA4C54"/>
    <w:rsid w:val="00CA6A99"/>
    <w:rsid w:val="00CB0417"/>
    <w:rsid w:val="00CB7DCC"/>
    <w:rsid w:val="00CC08E1"/>
    <w:rsid w:val="00CC45BF"/>
    <w:rsid w:val="00CC68EF"/>
    <w:rsid w:val="00CD0EFC"/>
    <w:rsid w:val="00CD4B65"/>
    <w:rsid w:val="00CE068D"/>
    <w:rsid w:val="00CE0857"/>
    <w:rsid w:val="00CE1127"/>
    <w:rsid w:val="00CE162E"/>
    <w:rsid w:val="00CF594B"/>
    <w:rsid w:val="00CF6494"/>
    <w:rsid w:val="00D0018D"/>
    <w:rsid w:val="00D253FA"/>
    <w:rsid w:val="00D41774"/>
    <w:rsid w:val="00D44045"/>
    <w:rsid w:val="00D45AA1"/>
    <w:rsid w:val="00D46116"/>
    <w:rsid w:val="00D4761F"/>
    <w:rsid w:val="00D562DD"/>
    <w:rsid w:val="00D61B5F"/>
    <w:rsid w:val="00D73957"/>
    <w:rsid w:val="00D80B0C"/>
    <w:rsid w:val="00D831A8"/>
    <w:rsid w:val="00D86A5F"/>
    <w:rsid w:val="00D9093E"/>
    <w:rsid w:val="00DA78FB"/>
    <w:rsid w:val="00DB1FB7"/>
    <w:rsid w:val="00DB33F7"/>
    <w:rsid w:val="00DB3AA5"/>
    <w:rsid w:val="00DB7F3B"/>
    <w:rsid w:val="00DC27FF"/>
    <w:rsid w:val="00DD3371"/>
    <w:rsid w:val="00DE2154"/>
    <w:rsid w:val="00DE7E40"/>
    <w:rsid w:val="00E00265"/>
    <w:rsid w:val="00E26583"/>
    <w:rsid w:val="00E34FCC"/>
    <w:rsid w:val="00E404C1"/>
    <w:rsid w:val="00E42D8F"/>
    <w:rsid w:val="00E47823"/>
    <w:rsid w:val="00E50271"/>
    <w:rsid w:val="00E54B88"/>
    <w:rsid w:val="00E61EFA"/>
    <w:rsid w:val="00E6268F"/>
    <w:rsid w:val="00E65473"/>
    <w:rsid w:val="00E94B97"/>
    <w:rsid w:val="00E94DEB"/>
    <w:rsid w:val="00EB1274"/>
    <w:rsid w:val="00EB7DC4"/>
    <w:rsid w:val="00ED0353"/>
    <w:rsid w:val="00ED04B5"/>
    <w:rsid w:val="00ED6713"/>
    <w:rsid w:val="00EE0B42"/>
    <w:rsid w:val="00EE185A"/>
    <w:rsid w:val="00EF023E"/>
    <w:rsid w:val="00EF1995"/>
    <w:rsid w:val="00EF5D5B"/>
    <w:rsid w:val="00F00713"/>
    <w:rsid w:val="00F06BB3"/>
    <w:rsid w:val="00F07AB7"/>
    <w:rsid w:val="00F14134"/>
    <w:rsid w:val="00F143FC"/>
    <w:rsid w:val="00F158BA"/>
    <w:rsid w:val="00F15FB1"/>
    <w:rsid w:val="00F23F11"/>
    <w:rsid w:val="00F24FEC"/>
    <w:rsid w:val="00F2599B"/>
    <w:rsid w:val="00F25E84"/>
    <w:rsid w:val="00F26405"/>
    <w:rsid w:val="00F334FD"/>
    <w:rsid w:val="00F339FC"/>
    <w:rsid w:val="00F429A3"/>
    <w:rsid w:val="00F43D5B"/>
    <w:rsid w:val="00F50D5D"/>
    <w:rsid w:val="00F54364"/>
    <w:rsid w:val="00F55539"/>
    <w:rsid w:val="00F56F72"/>
    <w:rsid w:val="00F609EF"/>
    <w:rsid w:val="00F64103"/>
    <w:rsid w:val="00F70477"/>
    <w:rsid w:val="00F70992"/>
    <w:rsid w:val="00F73071"/>
    <w:rsid w:val="00F7627B"/>
    <w:rsid w:val="00F76915"/>
    <w:rsid w:val="00F92627"/>
    <w:rsid w:val="00F9440A"/>
    <w:rsid w:val="00F955B9"/>
    <w:rsid w:val="00F96520"/>
    <w:rsid w:val="00FA001A"/>
    <w:rsid w:val="00FA077F"/>
    <w:rsid w:val="00FA6720"/>
    <w:rsid w:val="00FA7242"/>
    <w:rsid w:val="00FA72D6"/>
    <w:rsid w:val="00FC7467"/>
    <w:rsid w:val="00FD2579"/>
    <w:rsid w:val="00FD4899"/>
    <w:rsid w:val="00FF0A8E"/>
    <w:rsid w:val="00FF22F8"/>
    <w:rsid w:val="00FF3CD7"/>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54F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94DEB"/>
    <w:pPr>
      <w:ind w:left="720" w:firstLine="629"/>
      <w:contextualSpacing/>
      <w:jc w:val="both"/>
    </w:pPr>
    <w:rPr>
      <w:rFonts w:ascii="Calibri" w:eastAsia="Calibri" w:hAnsi="Calibri" w:cs="Times New Roman"/>
    </w:rPr>
  </w:style>
  <w:style w:type="character" w:customStyle="1" w:styleId="ListParagraphChar">
    <w:name w:val="List Paragraph Char"/>
    <w:link w:val="ListParagraph"/>
    <w:uiPriority w:val="34"/>
    <w:locked/>
    <w:rsid w:val="00E94DEB"/>
    <w:rPr>
      <w:rFonts w:ascii="Calibri" w:eastAsia="Calibri" w:hAnsi="Calibri" w:cs="Times New Roman"/>
    </w:rPr>
  </w:style>
  <w:style w:type="paragraph" w:styleId="BodyTextIndent3">
    <w:name w:val="Body Text Indent 3"/>
    <w:basedOn w:val="Normal"/>
    <w:link w:val="BodyTextIndent3Char"/>
    <w:uiPriority w:val="99"/>
    <w:semiHidden/>
    <w:unhideWhenUsed/>
    <w:rsid w:val="00E94DEB"/>
    <w:pPr>
      <w:spacing w:after="120"/>
      <w:ind w:left="360" w:firstLine="629"/>
      <w:jc w:val="both"/>
    </w:pPr>
    <w:rPr>
      <w:rFonts w:ascii="Calibri" w:eastAsia="Calibri" w:hAnsi="Calibri" w:cs="Times New Roman"/>
      <w:sz w:val="16"/>
      <w:szCs w:val="16"/>
    </w:rPr>
  </w:style>
  <w:style w:type="character" w:customStyle="1" w:styleId="BodyTextIndent3Char">
    <w:name w:val="Body Text Indent 3 Char"/>
    <w:basedOn w:val="DefaultParagraphFont"/>
    <w:link w:val="BodyTextIndent3"/>
    <w:uiPriority w:val="99"/>
    <w:semiHidden/>
    <w:rsid w:val="00E94DEB"/>
    <w:rPr>
      <w:rFonts w:ascii="Calibri" w:eastAsia="Calibri" w:hAnsi="Calibri" w:cs="Times New Roman"/>
      <w:sz w:val="16"/>
      <w:szCs w:val="16"/>
    </w:rPr>
  </w:style>
  <w:style w:type="paragraph" w:styleId="Header">
    <w:name w:val="header"/>
    <w:basedOn w:val="Normal"/>
    <w:link w:val="HeaderChar"/>
    <w:uiPriority w:val="99"/>
    <w:semiHidden/>
    <w:unhideWhenUsed/>
    <w:rsid w:val="00E94DE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4DEB"/>
  </w:style>
  <w:style w:type="paragraph" w:styleId="Footer">
    <w:name w:val="footer"/>
    <w:basedOn w:val="Normal"/>
    <w:link w:val="FooterChar"/>
    <w:uiPriority w:val="99"/>
    <w:unhideWhenUsed/>
    <w:rsid w:val="00E94D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4DEB"/>
  </w:style>
  <w:style w:type="paragraph" w:styleId="BalloonText">
    <w:name w:val="Balloon Text"/>
    <w:basedOn w:val="Normal"/>
    <w:link w:val="BalloonTextChar"/>
    <w:uiPriority w:val="99"/>
    <w:semiHidden/>
    <w:unhideWhenUsed/>
    <w:rsid w:val="00E94D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4D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561</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Vostro</dc:creator>
  <cp:lastModifiedBy>BAPEDA</cp:lastModifiedBy>
  <cp:revision>5</cp:revision>
  <dcterms:created xsi:type="dcterms:W3CDTF">2015-06-15T04:54:00Z</dcterms:created>
  <dcterms:modified xsi:type="dcterms:W3CDTF">2015-07-06T03:08:00Z</dcterms:modified>
</cp:coreProperties>
</file>